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木垒哈萨克自治县公安局</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1、贯彻落实党中央、国务院和区、州党委、人民政府以及公安部、公安厅制定的的公安工作的方针、政策、法律、法规，贯彻落实县委、县人民政府及州公安局有关公安工作的决定、决议及指示，维护自治县社会稳定，部署自治县社会治安管理工作，指导、监督、检查各科、所、队、室的贯彻执行情况。</w:t>
      </w:r>
    </w:p>
    <w:p>
      <w:pPr>
        <w:ind w:firstLine="640" w:firstLineChars="200"/>
        <w:jc w:val="left"/>
        <w:rPr>
          <w:rFonts w:ascii="仿宋_GB2312" w:eastAsia="仿宋_GB2312"/>
          <w:sz w:val="32"/>
          <w:szCs w:val="32"/>
        </w:rPr>
      </w:pPr>
      <w:r>
        <w:rPr>
          <w:rFonts w:hint="eastAsia" w:ascii="仿宋_GB2312" w:eastAsia="仿宋_GB2312"/>
          <w:sz w:val="32"/>
          <w:szCs w:val="32"/>
        </w:rPr>
        <w:t>2、研究自治县公安机关在改革开放和市场经济条件下，出现的新情况、新问题，进一步推进公安工作的改革，逐步形成合理、高效的公安工作新机制。</w:t>
      </w:r>
    </w:p>
    <w:p>
      <w:pPr>
        <w:ind w:firstLine="640" w:firstLineChars="200"/>
        <w:jc w:val="left"/>
        <w:rPr>
          <w:rFonts w:ascii="仿宋_GB2312" w:eastAsia="仿宋_GB2312"/>
          <w:sz w:val="32"/>
          <w:szCs w:val="32"/>
        </w:rPr>
      </w:pPr>
      <w:r>
        <w:rPr>
          <w:rFonts w:hint="eastAsia" w:ascii="仿宋_GB2312" w:eastAsia="仿宋_GB2312"/>
          <w:sz w:val="32"/>
          <w:szCs w:val="32"/>
        </w:rPr>
        <w:t>3、掌握情况信息，分析、预测自治县敌情、社情和社会治安情况，并研究制定对策。</w:t>
      </w:r>
    </w:p>
    <w:p>
      <w:pPr>
        <w:ind w:firstLine="640" w:firstLineChars="200"/>
        <w:jc w:val="left"/>
        <w:rPr>
          <w:rFonts w:ascii="仿宋_GB2312" w:eastAsia="仿宋_GB2312"/>
          <w:sz w:val="32"/>
          <w:szCs w:val="32"/>
        </w:rPr>
      </w:pPr>
      <w:r>
        <w:rPr>
          <w:rFonts w:hint="eastAsia" w:ascii="仿宋_GB2312" w:eastAsia="仿宋_GB2312"/>
          <w:sz w:val="32"/>
          <w:szCs w:val="32"/>
        </w:rPr>
        <w:t>4、负责辖区内危害国家安全案件、刑事案件、经济犯罪案件的侦破和禁毒工作；负责对境内外敌对势力、反动组织、社会团体的侦控和基础调研工作；组织协调重大行动，协调处置重大案件、重大骚乱事件、重大治安事故及其他重大突发事件。</w:t>
      </w:r>
    </w:p>
    <w:p>
      <w:pPr>
        <w:ind w:firstLine="640" w:firstLineChars="200"/>
        <w:jc w:val="left"/>
        <w:rPr>
          <w:rFonts w:ascii="仿宋_GB2312" w:eastAsia="仿宋_GB2312"/>
          <w:sz w:val="32"/>
          <w:szCs w:val="32"/>
        </w:rPr>
      </w:pPr>
      <w:r>
        <w:rPr>
          <w:rFonts w:hint="eastAsia" w:ascii="仿宋_GB2312" w:eastAsia="仿宋_GB2312"/>
          <w:sz w:val="32"/>
          <w:szCs w:val="32"/>
        </w:rPr>
        <w:t>5、依法管理自治县社会治安、户籍、居民身份证工作，组织实施消防安全工作，依法进行消防监督和管理。</w:t>
      </w:r>
    </w:p>
    <w:p>
      <w:pPr>
        <w:ind w:firstLine="640" w:firstLineChars="200"/>
        <w:jc w:val="left"/>
        <w:rPr>
          <w:rFonts w:ascii="仿宋_GB2312" w:eastAsia="仿宋_GB2312"/>
          <w:sz w:val="32"/>
          <w:szCs w:val="32"/>
        </w:rPr>
      </w:pPr>
      <w:r>
        <w:rPr>
          <w:rFonts w:hint="eastAsia" w:ascii="仿宋_GB2312" w:eastAsia="仿宋_GB2312"/>
          <w:sz w:val="32"/>
          <w:szCs w:val="32"/>
        </w:rPr>
        <w:t>6、依法对本辖区机关、企事业单位、各类学校及社会团体的安全保卫工作进行指导指导、检查和监督。指导本辖区内机关、企事业单位保卫组织和保安业务及其队伍建设。</w:t>
      </w:r>
    </w:p>
    <w:p>
      <w:pPr>
        <w:ind w:firstLine="640" w:firstLineChars="200"/>
        <w:jc w:val="left"/>
        <w:rPr>
          <w:rFonts w:ascii="仿宋_GB2312" w:eastAsia="仿宋_GB2312"/>
          <w:sz w:val="32"/>
          <w:szCs w:val="32"/>
        </w:rPr>
      </w:pPr>
      <w:r>
        <w:rPr>
          <w:rFonts w:hint="eastAsia" w:ascii="仿宋_GB2312" w:eastAsia="仿宋_GB2312"/>
          <w:sz w:val="32"/>
          <w:szCs w:val="32"/>
        </w:rPr>
        <w:t>7、组织实施党和国家主要领导人及重要外宾来访我县以及本县重要会议、大型活动的安全保卫工作。</w:t>
      </w:r>
    </w:p>
    <w:p>
      <w:pPr>
        <w:ind w:firstLine="640" w:firstLineChars="200"/>
        <w:jc w:val="left"/>
        <w:rPr>
          <w:rFonts w:ascii="仿宋_GB2312" w:eastAsia="仿宋_GB2312"/>
          <w:sz w:val="32"/>
          <w:szCs w:val="32"/>
        </w:rPr>
      </w:pPr>
      <w:r>
        <w:rPr>
          <w:rFonts w:hint="eastAsia" w:ascii="仿宋_GB2312" w:eastAsia="仿宋_GB2312"/>
          <w:sz w:val="32"/>
          <w:szCs w:val="32"/>
        </w:rPr>
        <w:t>8、依法管理看守所、行政拘留所的日常工作，负责看守所、拘留所安全管理工作。</w:t>
      </w:r>
    </w:p>
    <w:p>
      <w:pPr>
        <w:ind w:firstLine="640" w:firstLineChars="200"/>
        <w:jc w:val="left"/>
        <w:rPr>
          <w:rFonts w:ascii="仿宋_GB2312" w:eastAsia="仿宋_GB2312"/>
          <w:sz w:val="32"/>
          <w:szCs w:val="32"/>
        </w:rPr>
      </w:pPr>
      <w:r>
        <w:rPr>
          <w:rFonts w:hint="eastAsia" w:ascii="仿宋_GB2312" w:eastAsia="仿宋_GB2312"/>
          <w:sz w:val="32"/>
          <w:szCs w:val="32"/>
        </w:rPr>
        <w:t>9、负责辖区内公共信息网络安全检查、网吧管理、网络犯罪侦察。负责公安机关的有线、无线通讯，计算机网络和计算机安全管理业务和建设规划、技术改造和装备等工作。</w:t>
      </w:r>
    </w:p>
    <w:p>
      <w:pPr>
        <w:ind w:firstLine="640" w:firstLineChars="200"/>
        <w:jc w:val="left"/>
        <w:rPr>
          <w:rFonts w:ascii="仿宋_GB2312" w:eastAsia="仿宋_GB2312"/>
          <w:sz w:val="32"/>
          <w:szCs w:val="32"/>
        </w:rPr>
      </w:pPr>
      <w:r>
        <w:rPr>
          <w:rFonts w:hint="eastAsia" w:ascii="仿宋_GB2312" w:eastAsia="仿宋_GB2312"/>
          <w:sz w:val="32"/>
          <w:szCs w:val="32"/>
        </w:rPr>
        <w:t>10、依法管理道路交通安全，维护交通秩序。</w:t>
      </w:r>
    </w:p>
    <w:p>
      <w:pPr>
        <w:ind w:firstLine="640" w:firstLineChars="200"/>
        <w:jc w:val="left"/>
        <w:rPr>
          <w:rFonts w:ascii="仿宋_GB2312" w:eastAsia="仿宋_GB2312"/>
          <w:sz w:val="32"/>
          <w:szCs w:val="32"/>
        </w:rPr>
      </w:pPr>
      <w:r>
        <w:rPr>
          <w:rFonts w:hint="eastAsia" w:ascii="仿宋_GB2312" w:eastAsia="仿宋_GB2312"/>
          <w:sz w:val="32"/>
          <w:szCs w:val="32"/>
        </w:rPr>
        <w:t>11、依法管理公安机关刑事、行政执法活动；负责办理公安机关的行政诉讼、行政复议案件。负责执法规范化建设和宣传工作。</w:t>
      </w:r>
    </w:p>
    <w:p>
      <w:pPr>
        <w:ind w:firstLine="640" w:firstLineChars="200"/>
        <w:jc w:val="left"/>
        <w:rPr>
          <w:rFonts w:ascii="仿宋_GB2312" w:eastAsia="仿宋_GB2312"/>
          <w:sz w:val="32"/>
          <w:szCs w:val="32"/>
        </w:rPr>
      </w:pPr>
      <w:r>
        <w:rPr>
          <w:rFonts w:hint="eastAsia" w:ascii="仿宋_GB2312" w:eastAsia="仿宋_GB2312"/>
          <w:sz w:val="32"/>
          <w:szCs w:val="32"/>
        </w:rPr>
        <w:t>12、负责民用爆破物品流通的监督管理。</w:t>
      </w:r>
    </w:p>
    <w:p>
      <w:pPr>
        <w:ind w:firstLine="640" w:firstLineChars="200"/>
        <w:jc w:val="left"/>
        <w:rPr>
          <w:rFonts w:ascii="仿宋_GB2312" w:eastAsia="仿宋_GB2312"/>
          <w:sz w:val="32"/>
          <w:szCs w:val="32"/>
        </w:rPr>
      </w:pPr>
      <w:r>
        <w:rPr>
          <w:rFonts w:hint="eastAsia" w:ascii="仿宋_GB2312" w:eastAsia="仿宋_GB2312"/>
          <w:sz w:val="32"/>
          <w:szCs w:val="32"/>
        </w:rPr>
        <w:t>13、指导公安局森林派出所和林区派出所的业务工作。</w:t>
      </w:r>
    </w:p>
    <w:p>
      <w:pPr>
        <w:ind w:firstLine="640" w:firstLineChars="200"/>
        <w:jc w:val="left"/>
        <w:rPr>
          <w:rFonts w:ascii="仿宋_GB2312" w:eastAsia="仿宋_GB2312"/>
          <w:sz w:val="32"/>
          <w:szCs w:val="32"/>
        </w:rPr>
      </w:pPr>
      <w:r>
        <w:rPr>
          <w:rFonts w:hint="eastAsia" w:ascii="仿宋_GB2312" w:eastAsia="仿宋_GB2312"/>
          <w:sz w:val="32"/>
          <w:szCs w:val="32"/>
        </w:rPr>
        <w:t>14、负责公安机关队伍的正规化建设及公安民警的管理、教育和培训工作。</w:t>
      </w:r>
    </w:p>
    <w:p>
      <w:pPr>
        <w:ind w:firstLine="640" w:firstLineChars="200"/>
        <w:jc w:val="left"/>
        <w:rPr>
          <w:rFonts w:ascii="仿宋_GB2312" w:eastAsia="仿宋_GB2312"/>
          <w:sz w:val="32"/>
          <w:szCs w:val="32"/>
        </w:rPr>
      </w:pPr>
      <w:r>
        <w:rPr>
          <w:rFonts w:hint="eastAsia" w:ascii="仿宋_GB2312" w:eastAsia="仿宋_GB2312"/>
          <w:sz w:val="32"/>
          <w:szCs w:val="32"/>
        </w:rPr>
        <w:t>15、负责公安机关的警务督察、纪检、监察和审计工作。</w:t>
      </w:r>
    </w:p>
    <w:p>
      <w:pPr>
        <w:ind w:firstLine="640" w:firstLineChars="200"/>
        <w:jc w:val="left"/>
        <w:rPr>
          <w:rFonts w:ascii="仿宋_GB2312" w:eastAsia="仿宋_GB2312"/>
          <w:sz w:val="32"/>
          <w:szCs w:val="32"/>
        </w:rPr>
      </w:pPr>
      <w:r>
        <w:rPr>
          <w:rFonts w:hint="eastAsia" w:ascii="仿宋_GB2312" w:eastAsia="仿宋_GB2312"/>
          <w:sz w:val="32"/>
          <w:szCs w:val="32"/>
        </w:rPr>
        <w:t>16、指导自治县武警中队、边防大队、消防大队与公安业务相关工作。</w:t>
      </w:r>
    </w:p>
    <w:p>
      <w:pPr>
        <w:ind w:firstLine="640" w:firstLineChars="200"/>
        <w:jc w:val="left"/>
        <w:rPr>
          <w:rFonts w:ascii="仿宋_GB2312" w:eastAsia="仿宋_GB2312"/>
          <w:sz w:val="32"/>
          <w:szCs w:val="32"/>
        </w:rPr>
      </w:pPr>
      <w:r>
        <w:rPr>
          <w:rFonts w:hint="eastAsia" w:ascii="仿宋_GB2312" w:eastAsia="仿宋_GB2312"/>
          <w:sz w:val="32"/>
          <w:szCs w:val="32"/>
        </w:rPr>
        <w:t>17、负责公安信息宣传及后勤管理、装备器材工作。</w:t>
      </w:r>
    </w:p>
    <w:p>
      <w:pPr>
        <w:ind w:firstLine="640" w:firstLineChars="200"/>
        <w:jc w:val="left"/>
        <w:rPr>
          <w:rFonts w:ascii="仿宋_GB2312" w:eastAsia="仿宋_GB2312"/>
          <w:sz w:val="32"/>
          <w:szCs w:val="32"/>
        </w:rPr>
      </w:pPr>
      <w:r>
        <w:rPr>
          <w:rFonts w:hint="eastAsia" w:ascii="仿宋_GB2312" w:eastAsia="仿宋_GB2312"/>
          <w:sz w:val="32"/>
          <w:szCs w:val="32"/>
        </w:rPr>
        <w:t>18、承办县委、县人民政府和上级公安机关交办的其他事项。</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木垒哈萨克自治县公安局2023年度，实有人数</w:t>
      </w:r>
      <w:r>
        <w:rPr>
          <w:rFonts w:hint="eastAsia" w:ascii="仿宋_GB2312" w:eastAsia="仿宋_GB2312"/>
          <w:sz w:val="32"/>
          <w:szCs w:val="32"/>
          <w:lang w:val="zh-CN"/>
        </w:rPr>
        <w:t>243</w:t>
      </w:r>
      <w:r>
        <w:rPr>
          <w:rFonts w:hint="eastAsia" w:ascii="仿宋_GB2312" w:eastAsia="仿宋_GB2312"/>
          <w:sz w:val="32"/>
          <w:szCs w:val="32"/>
        </w:rPr>
        <w:t>人，其中：在职人员</w:t>
      </w:r>
      <w:r>
        <w:rPr>
          <w:rFonts w:hint="eastAsia" w:ascii="仿宋_GB2312" w:eastAsia="仿宋_GB2312"/>
          <w:sz w:val="32"/>
          <w:szCs w:val="32"/>
          <w:lang w:val="zh-CN"/>
        </w:rPr>
        <w:t>177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66</w:t>
      </w:r>
      <w:r>
        <w:rPr>
          <w:rFonts w:hint="eastAsia" w:ascii="仿宋_GB2312" w:eastAsia="仿宋_GB2312"/>
          <w:sz w:val="32"/>
          <w:szCs w:val="32"/>
        </w:rPr>
        <w:t>人。</w:t>
      </w:r>
    </w:p>
    <w:p>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ascii="仿宋_GB2312" w:eastAsia="仿宋_GB2312"/>
          <w:sz w:val="32"/>
          <w:szCs w:val="32"/>
        </w:rPr>
        <w:t>4</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政工科、纪检监察室（挂纪委、警务督察大队牌子）、指挥中心（挂办公室、情报中心、警务保障室牌子）、国内安全保卫大队、刑事侦查大队、交通警察大队（下设交通警察大队车辆管理所）、治安管理大队（挂爆炸危险物品监督大队牌子）、网络安全保卫大队、法制大队、食品药品环境犯罪侦查大队、</w:t>
      </w:r>
      <w:r>
        <w:rPr>
          <w:rFonts w:hint="eastAsia" w:ascii="仿宋_GB2312" w:eastAsia="仿宋_GB2312" w:cs="仿宋_GB2312"/>
          <w:sz w:val="32"/>
          <w:szCs w:val="32"/>
        </w:rPr>
        <w:t>派出所、看守所、拘留所、</w:t>
      </w:r>
      <w:r>
        <w:rPr>
          <w:rFonts w:hint="eastAsia" w:ascii="仿宋_GB2312" w:eastAsia="仿宋_GB2312" w:cs="仿宋_GB2312"/>
          <w:kern w:val="0"/>
          <w:sz w:val="32"/>
          <w:szCs w:val="32"/>
          <w:highlight w:val="white"/>
        </w:rPr>
        <w:t>检查站</w:t>
      </w:r>
      <w:r>
        <w:rPr>
          <w:rFonts w:hint="eastAsia" w:ascii="仿宋_GB2312" w:hAnsi="宋体" w:eastAsia="仿宋_GB2312" w:cs="宋体"/>
          <w:kern w:val="0"/>
          <w:sz w:val="32"/>
          <w:szCs w:val="32"/>
        </w:rPr>
        <w:t>。</w:t>
      </w:r>
    </w:p>
    <w:p>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2023年度收入总计13,712.14万元，其中：本年收入合计13,712.14万元，使用非财政拨款结余0.00万元，年初结转和结余0.00万元。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2023年度支出总计13,712.14万元，其中：本年支出合计13,712.14万元，结余分配0.00万元，年末结转和结余0.00万元。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增加204.03万元</w:t>
      </w:r>
      <w:r>
        <w:rPr>
          <w:rFonts w:hint="eastAsia" w:ascii="仿宋_GB2312" w:eastAsia="仿宋_GB2312"/>
          <w:sz w:val="32"/>
          <w:szCs w:val="32"/>
        </w:rPr>
        <w:t>，增长1.51%，主要原因是：本年单位增加公安局电路租赁费、中央转移支付资金等。</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本年收入13,712.14万元，其中：财政拨款收入</w:t>
      </w:r>
      <w:r>
        <w:rPr>
          <w:rFonts w:hint="eastAsia" w:ascii="仿宋_GB2312" w:eastAsia="仿宋_GB2312"/>
          <w:sz w:val="32"/>
          <w:szCs w:val="32"/>
          <w:lang w:val="zh-CN"/>
        </w:rPr>
        <w:t>13,370.29</w:t>
      </w:r>
      <w:r>
        <w:rPr>
          <w:rFonts w:hint="eastAsia" w:ascii="仿宋_GB2312" w:eastAsia="仿宋_GB2312"/>
          <w:sz w:val="32"/>
          <w:szCs w:val="32"/>
        </w:rPr>
        <w:t>万元，占</w:t>
      </w:r>
      <w:r>
        <w:rPr>
          <w:rFonts w:hint="eastAsia" w:ascii="仿宋_GB2312" w:eastAsia="仿宋_GB2312"/>
          <w:sz w:val="32"/>
          <w:szCs w:val="32"/>
          <w:lang w:val="zh-CN"/>
        </w:rPr>
        <w:t>97.51</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341.85</w:t>
      </w:r>
      <w:r>
        <w:rPr>
          <w:rFonts w:hint="eastAsia" w:ascii="仿宋_GB2312" w:eastAsia="仿宋_GB2312"/>
          <w:sz w:val="32"/>
          <w:szCs w:val="32"/>
        </w:rPr>
        <w:t>万元，占</w:t>
      </w:r>
      <w:r>
        <w:rPr>
          <w:rFonts w:hint="eastAsia" w:ascii="仿宋_GB2312" w:eastAsia="仿宋_GB2312"/>
          <w:sz w:val="32"/>
          <w:szCs w:val="32"/>
          <w:lang w:val="zh-CN"/>
        </w:rPr>
        <w:t>2.49</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rPr>
      </w:pPr>
      <w:r>
        <w:rPr>
          <w:rFonts w:hint="eastAsia" w:ascii="仿宋_GB2312" w:eastAsia="仿宋_GB2312"/>
          <w:sz w:val="32"/>
          <w:szCs w:val="32"/>
        </w:rPr>
        <w:t>本年支出13,712.14万元，其中：基本支出11,618.32万元，占84.73%；项目支出2,093.82万元，占15.27%；上缴上级支出0.00万元，占0.00%；经营支出0.00万元，占0.00%；对附属单位补助支出0.00万元，占0.00%。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13,370.29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13,370.29</w:t>
      </w:r>
      <w:r>
        <w:rPr>
          <w:rFonts w:hint="eastAsia" w:ascii="仿宋_GB2312" w:eastAsia="仿宋_GB2312"/>
          <w:sz w:val="32"/>
          <w:szCs w:val="32"/>
        </w:rPr>
        <w:t>万元。财政拨款支出总计</w:t>
      </w:r>
      <w:r>
        <w:rPr>
          <w:rFonts w:hint="eastAsia" w:ascii="仿宋_GB2312" w:eastAsia="仿宋_GB2312"/>
          <w:sz w:val="32"/>
          <w:szCs w:val="32"/>
          <w:lang w:val="zh-CN"/>
        </w:rPr>
        <w:t>13,370.29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13,370.29</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增加297.12万元</w:t>
      </w:r>
      <w:r>
        <w:rPr>
          <w:rFonts w:hint="eastAsia" w:ascii="仿宋_GB2312" w:eastAsia="仿宋_GB2312"/>
          <w:sz w:val="32"/>
          <w:szCs w:val="32"/>
        </w:rPr>
        <w:t>，增长2.27%,主要原因是：本年单位增加公安局电路租赁费、中央转移支付资金等。与年初预算相比，年初预算数</w:t>
      </w:r>
      <w:r>
        <w:rPr>
          <w:rFonts w:hint="eastAsia" w:ascii="仿宋_GB2312" w:eastAsia="仿宋_GB2312"/>
          <w:sz w:val="32"/>
          <w:szCs w:val="32"/>
          <w:lang w:val="zh-CN"/>
        </w:rPr>
        <w:t>13,024.88</w:t>
      </w:r>
      <w:r>
        <w:rPr>
          <w:rFonts w:hint="eastAsia" w:ascii="仿宋_GB2312" w:eastAsia="仿宋_GB2312"/>
          <w:sz w:val="32"/>
          <w:szCs w:val="32"/>
        </w:rPr>
        <w:t>万元，决算数</w:t>
      </w:r>
      <w:r>
        <w:rPr>
          <w:rFonts w:hint="eastAsia" w:ascii="仿宋_GB2312" w:eastAsia="仿宋_GB2312"/>
          <w:sz w:val="32"/>
          <w:szCs w:val="32"/>
          <w:lang w:val="zh-CN"/>
        </w:rPr>
        <w:t>13,370.29</w:t>
      </w:r>
      <w:r>
        <w:rPr>
          <w:rFonts w:hint="eastAsia" w:ascii="仿宋_GB2312" w:eastAsia="仿宋_GB2312"/>
          <w:sz w:val="32"/>
          <w:szCs w:val="32"/>
        </w:rPr>
        <w:t>万元，预决算差异率2.65%，主要原因是：年中追加公安局电路租赁费、人员丧葬抚恤金等。</w:t>
      </w:r>
    </w:p>
    <w:p>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2023年度一般公共预算财政拨款支出13,370.29万元，占本年支出合计的</w:t>
      </w:r>
      <w:r>
        <w:rPr>
          <w:rFonts w:hint="eastAsia" w:ascii="仿宋_GB2312" w:eastAsia="仿宋_GB2312"/>
          <w:sz w:val="32"/>
          <w:szCs w:val="32"/>
          <w:lang w:val="zh-CN"/>
        </w:rPr>
        <w:t>97.51%</w:t>
      </w:r>
      <w:r>
        <w:rPr>
          <w:rFonts w:hint="eastAsia" w:ascii="仿宋_GB2312" w:eastAsia="仿宋_GB2312"/>
          <w:sz w:val="32"/>
          <w:szCs w:val="32"/>
        </w:rPr>
        <w:t>。与上年相比，</w:t>
      </w:r>
      <w:r>
        <w:rPr>
          <w:rFonts w:hint="eastAsia" w:ascii="仿宋_GB2312" w:eastAsia="仿宋_GB2312"/>
          <w:sz w:val="32"/>
          <w:szCs w:val="32"/>
          <w:lang w:val="zh-CN"/>
        </w:rPr>
        <w:t>增加297.12万元</w:t>
      </w:r>
      <w:r>
        <w:rPr>
          <w:rFonts w:hint="eastAsia" w:ascii="仿宋_GB2312" w:eastAsia="仿宋_GB2312"/>
          <w:sz w:val="32"/>
          <w:szCs w:val="32"/>
        </w:rPr>
        <w:t>，增长2.27%,主要原因是：本年单位增加公安局电路租赁费、中央转移支付资金等。与年初预算相比，年初预算数</w:t>
      </w:r>
      <w:r>
        <w:rPr>
          <w:rFonts w:hint="eastAsia" w:ascii="仿宋_GB2312" w:eastAsia="仿宋_GB2312"/>
          <w:sz w:val="32"/>
          <w:szCs w:val="32"/>
          <w:lang w:val="zh-CN"/>
        </w:rPr>
        <w:t>13,024.88</w:t>
      </w:r>
      <w:r>
        <w:rPr>
          <w:rFonts w:hint="eastAsia" w:ascii="仿宋_GB2312" w:eastAsia="仿宋_GB2312"/>
          <w:sz w:val="32"/>
          <w:szCs w:val="32"/>
        </w:rPr>
        <w:t>万元，决算数</w:t>
      </w:r>
      <w:r>
        <w:rPr>
          <w:rFonts w:hint="eastAsia" w:ascii="仿宋_GB2312" w:eastAsia="仿宋_GB2312"/>
          <w:sz w:val="32"/>
          <w:szCs w:val="32"/>
          <w:lang w:val="zh-CN"/>
        </w:rPr>
        <w:t>13,370.29</w:t>
      </w:r>
      <w:r>
        <w:rPr>
          <w:rFonts w:hint="eastAsia" w:ascii="仿宋_GB2312" w:eastAsia="仿宋_GB2312"/>
          <w:sz w:val="32"/>
          <w:szCs w:val="32"/>
        </w:rPr>
        <w:t>万元，预决算差异率</w:t>
      </w:r>
      <w:r>
        <w:rPr>
          <w:rFonts w:hint="eastAsia" w:ascii="仿宋_GB2312" w:eastAsia="仿宋_GB2312"/>
          <w:sz w:val="32"/>
          <w:szCs w:val="32"/>
          <w:lang w:val="zh-CN"/>
        </w:rPr>
        <w:t>2.65%</w:t>
      </w:r>
      <w:r>
        <w:rPr>
          <w:rFonts w:hint="eastAsia" w:ascii="仿宋_GB2312" w:eastAsia="仿宋_GB2312"/>
          <w:sz w:val="32"/>
          <w:szCs w:val="32"/>
        </w:rPr>
        <w:t>，主要原因是：年中追加公安局电路租赁费、人员丧葬抚恤金等。</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1.公共安全类支出（类）</w:t>
      </w:r>
      <w:r>
        <w:rPr>
          <w:rFonts w:hint="eastAsia" w:ascii="仿宋_GB2312" w:eastAsia="仿宋_GB2312"/>
          <w:kern w:val="2"/>
          <w:sz w:val="32"/>
          <w:szCs w:val="32"/>
          <w:lang w:val="zh-CN"/>
        </w:rPr>
        <w:t>12,397.47</w:t>
      </w:r>
      <w:r>
        <w:rPr>
          <w:rFonts w:ascii="仿宋_GB2312" w:eastAsia="仿宋_GB2312"/>
          <w:kern w:val="2"/>
          <w:sz w:val="32"/>
          <w:szCs w:val="32"/>
          <w:lang w:val="zh-CN"/>
        </w:rPr>
        <w:t>万元，占</w:t>
      </w:r>
      <w:r>
        <w:rPr>
          <w:rFonts w:hint="eastAsia" w:ascii="仿宋_GB2312" w:eastAsia="仿宋_GB2312"/>
          <w:kern w:val="2"/>
          <w:sz w:val="32"/>
          <w:szCs w:val="32"/>
          <w:lang w:val="zh-CN"/>
        </w:rPr>
        <w:t>92.72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2.社会保障和就业支出（类）</w:t>
      </w:r>
      <w:r>
        <w:rPr>
          <w:rFonts w:hint="eastAsia" w:ascii="仿宋_GB2312" w:eastAsia="仿宋_GB2312"/>
          <w:kern w:val="2"/>
          <w:sz w:val="32"/>
          <w:szCs w:val="32"/>
          <w:lang w:val="zh-CN"/>
        </w:rPr>
        <w:t>535.04</w:t>
      </w:r>
      <w:r>
        <w:rPr>
          <w:rFonts w:ascii="仿宋_GB2312" w:eastAsia="仿宋_GB2312"/>
          <w:kern w:val="2"/>
          <w:sz w:val="32"/>
          <w:szCs w:val="32"/>
          <w:lang w:val="zh-CN"/>
        </w:rPr>
        <w:t>万元，占</w:t>
      </w:r>
      <w:r>
        <w:rPr>
          <w:rFonts w:hint="eastAsia" w:ascii="仿宋_GB2312" w:eastAsia="仿宋_GB2312"/>
          <w:kern w:val="2"/>
          <w:sz w:val="32"/>
          <w:szCs w:val="32"/>
          <w:lang w:val="zh-CN"/>
        </w:rPr>
        <w:t>4.00</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227.79</w:t>
      </w:r>
      <w:r>
        <w:rPr>
          <w:rFonts w:ascii="仿宋_GB2312" w:eastAsia="仿宋_GB2312"/>
          <w:kern w:val="2"/>
          <w:sz w:val="32"/>
          <w:szCs w:val="32"/>
          <w:lang w:val="zh-CN"/>
        </w:rPr>
        <w:t>万元，占</w:t>
      </w:r>
      <w:r>
        <w:rPr>
          <w:rFonts w:hint="eastAsia" w:ascii="仿宋_GB2312" w:eastAsia="仿宋_GB2312"/>
          <w:kern w:val="2"/>
          <w:sz w:val="32"/>
          <w:szCs w:val="32"/>
          <w:lang w:val="zh-CN"/>
        </w:rPr>
        <w:t>1.70</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4.其他支出（类）</w:t>
      </w:r>
      <w:r>
        <w:rPr>
          <w:rFonts w:hint="eastAsia" w:ascii="仿宋_GB2312" w:eastAsia="仿宋_GB2312"/>
          <w:kern w:val="2"/>
          <w:sz w:val="32"/>
          <w:szCs w:val="32"/>
          <w:lang w:val="zh-CN"/>
        </w:rPr>
        <w:t>210.00</w:t>
      </w:r>
      <w:r>
        <w:rPr>
          <w:rFonts w:ascii="仿宋_GB2312" w:eastAsia="仿宋_GB2312"/>
          <w:kern w:val="2"/>
          <w:sz w:val="32"/>
          <w:szCs w:val="32"/>
          <w:lang w:val="zh-CN"/>
        </w:rPr>
        <w:t>万元，占</w:t>
      </w:r>
      <w:r>
        <w:rPr>
          <w:rFonts w:hint="eastAsia" w:ascii="仿宋_GB2312" w:eastAsia="仿宋_GB2312"/>
          <w:kern w:val="2"/>
          <w:sz w:val="32"/>
          <w:szCs w:val="32"/>
          <w:lang w:val="zh-CN"/>
        </w:rPr>
        <w:t>1.57</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hint="eastAsia" w:ascii="仿宋_GB2312" w:eastAsia="仿宋_GB2312"/>
          <w:sz w:val="32"/>
          <w:szCs w:val="32"/>
          <w:lang w:val="zh-CN"/>
        </w:rPr>
      </w:pPr>
      <w:r>
        <w:rPr>
          <w:rFonts w:hint="eastAsia" w:ascii="仿宋_GB2312" w:eastAsia="仿宋_GB2312"/>
          <w:sz w:val="32"/>
          <w:szCs w:val="32"/>
        </w:rPr>
        <w:t>1.公共安全支出（类）公安（款）事业运行（项）:支出决算数为533.14万元，比上年决算减少671.74万元，下降55.75%，主要原因是：本年退休5名事业编民警，人员工资、津补贴等人员经费减少</w:t>
      </w:r>
      <w:r>
        <w:rPr>
          <w:rFonts w:hint="eastAsia" w:ascii="仿宋_GB2312" w:eastAsia="仿宋_GB2312"/>
          <w:sz w:val="32"/>
          <w:szCs w:val="32"/>
          <w:lang w:val="zh-CN"/>
        </w:rPr>
        <w:t>。</w:t>
      </w:r>
    </w:p>
    <w:p>
      <w:pPr>
        <w:ind w:firstLine="640" w:firstLineChars="200"/>
        <w:rPr>
          <w:rFonts w:hint="eastAsia" w:ascii="仿宋_GB2312" w:eastAsia="仿宋_GB2312"/>
          <w:sz w:val="32"/>
          <w:szCs w:val="32"/>
          <w:lang w:val="zh-CN"/>
        </w:rPr>
      </w:pPr>
      <w:r>
        <w:rPr>
          <w:rFonts w:hint="eastAsia" w:ascii="仿宋_GB2312" w:eastAsia="仿宋_GB2312"/>
          <w:sz w:val="32"/>
          <w:szCs w:val="32"/>
        </w:rPr>
        <w:t>2.公共安全支出（类）其他公共安全支出（款）其他公共安全支出（项）:支出决算数为43.84万元，比上年决算增加42.84万元，增长4284.00%，主要原因是：本年</w:t>
      </w:r>
      <w:r>
        <w:rPr>
          <w:rFonts w:hint="eastAsia" w:ascii="仿宋_GB2312" w:eastAsia="仿宋_GB2312"/>
          <w:sz w:val="32"/>
          <w:szCs w:val="32"/>
          <w:lang w:val="zh-CN"/>
        </w:rPr>
        <w:t>公安局电路租赁费较上年增加。</w:t>
      </w:r>
    </w:p>
    <w:p>
      <w:pPr>
        <w:ind w:firstLine="640" w:firstLineChars="200"/>
        <w:rPr>
          <w:rFonts w:hint="eastAsia" w:ascii="仿宋_GB2312" w:eastAsia="仿宋_GB2312"/>
          <w:sz w:val="32"/>
          <w:szCs w:val="32"/>
          <w:lang w:val="zh-CN"/>
        </w:rPr>
      </w:pPr>
      <w:r>
        <w:rPr>
          <w:rFonts w:hint="eastAsia" w:ascii="仿宋_GB2312" w:eastAsia="仿宋_GB2312"/>
          <w:sz w:val="32"/>
          <w:szCs w:val="32"/>
        </w:rPr>
        <w:t>3.住房保障支出（类）住房改革支出（款）住房公积金（项）:支出决算数为227.79万元，比上年决算减少0.29万元，下降0.13%，主要原因是：本年退休5名事业编民警，人员住房公积金缴费减少</w:t>
      </w:r>
      <w:r>
        <w:rPr>
          <w:rFonts w:hint="eastAsia" w:ascii="仿宋_GB2312" w:eastAsia="仿宋_GB2312"/>
          <w:sz w:val="32"/>
          <w:szCs w:val="32"/>
          <w:lang w:val="zh-CN"/>
        </w:rPr>
        <w:t>。</w:t>
      </w:r>
    </w:p>
    <w:p>
      <w:pPr>
        <w:ind w:firstLine="640" w:firstLineChars="200"/>
        <w:rPr>
          <w:rFonts w:hint="eastAsia" w:ascii="仿宋_GB2312" w:eastAsia="仿宋_GB2312"/>
          <w:sz w:val="32"/>
          <w:szCs w:val="32"/>
          <w:lang w:val="zh-CN"/>
        </w:rPr>
      </w:pPr>
      <w:r>
        <w:rPr>
          <w:rFonts w:hint="eastAsia" w:ascii="仿宋_GB2312" w:eastAsia="仿宋_GB2312"/>
          <w:sz w:val="32"/>
          <w:szCs w:val="32"/>
        </w:rPr>
        <w:t>4.社会保障和就业支出（类）抚恤（款）死亡抚恤（项）:支出决算数为97.12万元，比上年决算增加58.67万元，增长152.59%，主要原因是：本年抚恤人员增加，人员抚恤补助经费增加</w:t>
      </w:r>
      <w:r>
        <w:rPr>
          <w:rFonts w:hint="eastAsia" w:ascii="仿宋_GB2312" w:eastAsia="仿宋_GB2312"/>
          <w:sz w:val="32"/>
          <w:szCs w:val="32"/>
          <w:lang w:val="zh-CN"/>
        </w:rPr>
        <w:t>。</w:t>
      </w:r>
    </w:p>
    <w:p>
      <w:pPr>
        <w:ind w:firstLine="640" w:firstLineChars="200"/>
        <w:rPr>
          <w:rFonts w:hint="eastAsia" w:ascii="仿宋_GB2312" w:eastAsia="仿宋_GB2312"/>
          <w:sz w:val="32"/>
          <w:szCs w:val="32"/>
          <w:lang w:val="zh-CN"/>
        </w:rPr>
      </w:pPr>
      <w:r>
        <w:rPr>
          <w:rFonts w:hint="eastAsia" w:ascii="仿宋_GB2312" w:eastAsia="仿宋_GB2312"/>
          <w:sz w:val="32"/>
          <w:szCs w:val="32"/>
        </w:rPr>
        <w:t>5.公共安全支出（类）公安（款）行政运行（项）:支出决算数为9,813.80万元，比上年决算增加238.73万元，增长2.49%，主要原因是：单位行政人员增加，人员工资、津补贴等人员经费增加</w:t>
      </w:r>
      <w:r>
        <w:rPr>
          <w:rFonts w:hint="eastAsia" w:ascii="仿宋_GB2312" w:eastAsia="仿宋_GB2312"/>
          <w:sz w:val="32"/>
          <w:szCs w:val="32"/>
          <w:lang w:val="zh-CN"/>
        </w:rPr>
        <w:t>。</w:t>
      </w:r>
    </w:p>
    <w:p>
      <w:pPr>
        <w:ind w:firstLine="640" w:firstLineChars="200"/>
        <w:rPr>
          <w:rFonts w:hint="eastAsia" w:ascii="仿宋_GB2312" w:eastAsia="仿宋_GB2312"/>
          <w:sz w:val="32"/>
          <w:szCs w:val="32"/>
          <w:lang w:val="zh-CN"/>
        </w:rPr>
      </w:pPr>
      <w:r>
        <w:rPr>
          <w:rFonts w:hint="eastAsia" w:ascii="仿宋_GB2312" w:eastAsia="仿宋_GB2312"/>
          <w:sz w:val="32"/>
          <w:szCs w:val="32"/>
        </w:rPr>
        <w:t>6.社会保障和就业支出（类）行政事业单位养老支出（款）事业单位离退休（项）:支出决算数为18.56万元，比上年决算增加18.56万元，增长100%，主要原因是：本年退休5名事业编民警，退休人员取暖费、独生子女奖励金增加</w:t>
      </w:r>
      <w:r>
        <w:rPr>
          <w:rFonts w:hint="eastAsia" w:ascii="仿宋_GB2312" w:eastAsia="仿宋_GB2312"/>
          <w:sz w:val="32"/>
          <w:szCs w:val="32"/>
          <w:lang w:val="zh-CN"/>
        </w:rPr>
        <w:t>。</w:t>
      </w:r>
    </w:p>
    <w:p>
      <w:pPr>
        <w:ind w:firstLine="640" w:firstLineChars="200"/>
        <w:rPr>
          <w:rFonts w:hint="eastAsia" w:ascii="仿宋_GB2312" w:eastAsia="仿宋_GB2312"/>
          <w:sz w:val="32"/>
          <w:szCs w:val="32"/>
          <w:lang w:val="zh-CN"/>
        </w:rPr>
      </w:pPr>
      <w:r>
        <w:rPr>
          <w:rFonts w:hint="eastAsia" w:ascii="仿宋_GB2312" w:eastAsia="仿宋_GB2312"/>
          <w:sz w:val="32"/>
          <w:szCs w:val="32"/>
        </w:rPr>
        <w:t>7.公共安全支出（类）公安（款）其他公安支出（项）:支出决算数为2,006.69万元，比上年决算增加422.08万元，增长26.64%，主要原因是：本年单位增加</w:t>
      </w:r>
      <w:r>
        <w:rPr>
          <w:rFonts w:hint="eastAsia" w:ascii="仿宋_GB2312" w:eastAsia="仿宋_GB2312"/>
          <w:sz w:val="32"/>
          <w:szCs w:val="32"/>
          <w:lang w:val="zh-CN"/>
        </w:rPr>
        <w:t>公安局电路租赁费、中央转移支付资金等。</w:t>
      </w:r>
    </w:p>
    <w:p>
      <w:pPr>
        <w:ind w:firstLine="640" w:firstLineChars="200"/>
        <w:rPr>
          <w:rFonts w:hint="eastAsia" w:ascii="仿宋_GB2312" w:eastAsia="仿宋_GB2312"/>
          <w:sz w:val="32"/>
          <w:szCs w:val="32"/>
          <w:lang w:val="zh-CN"/>
        </w:rPr>
      </w:pPr>
      <w:r>
        <w:rPr>
          <w:rFonts w:hint="eastAsia" w:ascii="仿宋_GB2312" w:eastAsia="仿宋_GB2312"/>
          <w:sz w:val="32"/>
          <w:szCs w:val="32"/>
        </w:rPr>
        <w:t>8.社会保障和就业支出（类）行政事业单位养老支出（款）机关事业单位职业年金缴费支出（项）:支出决算数为63.48万元，比上年决算增加5.78万元，增长10.01%，主要原因是：单位退休人员增加，退休人员职业年金缴费增加</w:t>
      </w:r>
      <w:r>
        <w:rPr>
          <w:rFonts w:hint="eastAsia" w:ascii="仿宋_GB2312" w:eastAsia="仿宋_GB2312"/>
          <w:sz w:val="32"/>
          <w:szCs w:val="32"/>
          <w:lang w:val="zh-CN"/>
        </w:rPr>
        <w:t>。</w:t>
      </w:r>
    </w:p>
    <w:p>
      <w:pPr>
        <w:ind w:firstLine="640" w:firstLineChars="200"/>
        <w:rPr>
          <w:rFonts w:hint="eastAsia" w:ascii="仿宋_GB2312" w:eastAsia="仿宋_GB2312"/>
          <w:sz w:val="32"/>
          <w:szCs w:val="32"/>
          <w:lang w:val="zh-CN"/>
        </w:rPr>
      </w:pPr>
      <w:r>
        <w:rPr>
          <w:rFonts w:hint="eastAsia" w:ascii="仿宋_GB2312" w:eastAsia="仿宋_GB2312"/>
          <w:sz w:val="32"/>
          <w:szCs w:val="32"/>
        </w:rPr>
        <w:t>9.社会保障和就业支出（类）行政事业单位养老支出（款）机关事业单位基本养老保险缴费支出（项）:支出决算数为355.88万元，比上年决算增加20.05万元，增长5.97%，主要原因是：单位人员增加，人员养老保险缴费</w:t>
      </w:r>
      <w:r>
        <w:rPr>
          <w:rFonts w:hint="eastAsia" w:ascii="仿宋_GB2312" w:eastAsia="仿宋_GB2312"/>
          <w:sz w:val="32"/>
          <w:szCs w:val="32"/>
          <w:lang w:val="zh-CN"/>
        </w:rPr>
        <w:t>。</w:t>
      </w:r>
    </w:p>
    <w:p>
      <w:pPr>
        <w:ind w:firstLine="640" w:firstLineChars="200"/>
        <w:rPr>
          <w:rFonts w:hint="eastAsia" w:ascii="仿宋_GB2312" w:eastAsia="仿宋_GB2312"/>
          <w:sz w:val="32"/>
          <w:szCs w:val="32"/>
          <w:lang w:val="zh-CN"/>
        </w:rPr>
      </w:pPr>
      <w:r>
        <w:rPr>
          <w:rFonts w:hint="eastAsia" w:ascii="仿宋_GB2312" w:eastAsia="仿宋_GB2312"/>
          <w:sz w:val="32"/>
          <w:szCs w:val="32"/>
        </w:rPr>
        <w:t>10.其他支出（类）其他支出（款）其他支出（项）:支出决算数为210.00万元，比上年决算增加201.11万元，增长2</w:t>
      </w:r>
      <w:r>
        <w:rPr>
          <w:rFonts w:hint="eastAsia" w:ascii="仿宋_GB2312" w:eastAsia="仿宋_GB2312"/>
          <w:sz w:val="32"/>
          <w:szCs w:val="32"/>
          <w:lang w:val="en-US" w:eastAsia="zh-CN"/>
        </w:rPr>
        <w:t>,</w:t>
      </w:r>
      <w:r>
        <w:rPr>
          <w:rFonts w:hint="eastAsia" w:ascii="仿宋_GB2312" w:eastAsia="仿宋_GB2312"/>
          <w:sz w:val="32"/>
          <w:szCs w:val="32"/>
        </w:rPr>
        <w:t>262.02%，主要原因是：本年</w:t>
      </w:r>
      <w:r>
        <w:rPr>
          <w:rFonts w:hint="eastAsia" w:ascii="仿宋_GB2312" w:eastAsia="仿宋_GB2312"/>
          <w:sz w:val="32"/>
          <w:szCs w:val="32"/>
          <w:lang w:val="zh-CN"/>
        </w:rPr>
        <w:t>偿还以前年度债务欠款项目经费增加。</w:t>
      </w:r>
    </w:p>
    <w:p>
      <w:pPr>
        <w:ind w:firstLine="640" w:firstLineChars="200"/>
        <w:rPr>
          <w:rFonts w:hint="eastAsia" w:ascii="仿宋_GB2312" w:eastAsia="仿宋_GB2312"/>
          <w:sz w:val="32"/>
          <w:szCs w:val="32"/>
          <w:lang w:val="zh-CN"/>
        </w:rPr>
      </w:pPr>
      <w:r>
        <w:rPr>
          <w:rFonts w:hint="eastAsia" w:ascii="仿宋_GB2312" w:eastAsia="仿宋_GB2312"/>
          <w:sz w:val="32"/>
          <w:szCs w:val="32"/>
        </w:rPr>
        <w:t>11.社会保障和就业支出（类）行政事业单位养老支出（款）行政单位离退休（项）:支出决算数为0.00万元，比上年决算减少8.65万元，下降100%，主要原因是：</w:t>
      </w:r>
      <w:r>
        <w:rPr>
          <w:rFonts w:hint="eastAsia" w:ascii="仿宋_GB2312" w:eastAsia="仿宋_GB2312"/>
          <w:sz w:val="32"/>
          <w:szCs w:val="32"/>
          <w:lang w:val="zh-CN"/>
        </w:rPr>
        <w:t>本年无此项经费。</w:t>
      </w:r>
    </w:p>
    <w:p>
      <w:pPr>
        <w:ind w:firstLine="640" w:firstLineChars="200"/>
        <w:rPr>
          <w:rFonts w:hint="eastAsia" w:ascii="仿宋_GB2312" w:eastAsia="仿宋_GB2312"/>
          <w:sz w:val="32"/>
          <w:szCs w:val="32"/>
          <w:lang w:val="zh-CN"/>
        </w:rPr>
      </w:pPr>
      <w:r>
        <w:rPr>
          <w:rFonts w:hint="eastAsia" w:ascii="仿宋_GB2312" w:eastAsia="仿宋_GB2312"/>
          <w:sz w:val="32"/>
          <w:szCs w:val="32"/>
        </w:rPr>
        <w:t>12.公共安全支出（类）公安（款）执法办案（项）:支出决算数为0.00万元，比上年决算减少30.00万元，下降100%，主要原因是：</w:t>
      </w:r>
      <w:r>
        <w:rPr>
          <w:rFonts w:hint="eastAsia" w:ascii="仿宋_GB2312" w:eastAsia="仿宋_GB2312"/>
          <w:sz w:val="32"/>
          <w:szCs w:val="32"/>
          <w:lang w:val="zh-CN"/>
        </w:rPr>
        <w:t>本年无此项经费。</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11,276.47万元，其中：人员经费10,659.21万元，包括：基本工资、津贴补贴、奖金、伙食补助费、机关事业单位基本养老保险缴费、职业年金缴费、职工基本医疗保险缴费、公务员医疗补助缴费、其他社会保障缴费、住房公积金、其他工资福利支出、退休费、抚恤金、生活补助、奖励金、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617.26万元，包括：办公费、印刷费、手续费、水费、电费、取暖费、差旅费、维修（护）费、租赁费、培训费、劳务费、工会经费、公务用车运行维护费、其他商品和服务支出、办公设备购置、专用设备购置、其他交通工具购置。</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“三公”经费支出180.82万元，</w:t>
      </w:r>
      <w:r>
        <w:rPr>
          <w:rFonts w:hint="eastAsia" w:ascii="仿宋_GB2312" w:eastAsia="仿宋_GB2312"/>
          <w:sz w:val="32"/>
          <w:szCs w:val="32"/>
        </w:rPr>
        <w:t>比上年</w:t>
      </w:r>
      <w:r>
        <w:rPr>
          <w:rFonts w:hint="eastAsia" w:ascii="仿宋_GB2312" w:eastAsia="仿宋_GB2312"/>
          <w:sz w:val="32"/>
          <w:szCs w:val="32"/>
          <w:lang w:val="zh-CN"/>
        </w:rPr>
        <w:t>增加80.82万元，</w:t>
      </w:r>
      <w:r>
        <w:rPr>
          <w:rFonts w:hint="eastAsia" w:ascii="仿宋_GB2312" w:eastAsia="仿宋_GB2312"/>
          <w:sz w:val="32"/>
          <w:szCs w:val="32"/>
        </w:rPr>
        <w:t>增长80.82%,</w:t>
      </w:r>
      <w:r>
        <w:rPr>
          <w:rFonts w:hint="eastAsia" w:ascii="仿宋_GB2312" w:eastAsia="仿宋_GB2312"/>
          <w:sz w:val="32"/>
          <w:szCs w:val="32"/>
          <w:lang w:val="zh-CN"/>
        </w:rPr>
        <w:t>主要原因是：车辆老化，车辆维修费、燃油费等较上年增加。其中：因公出国（境）费支出0.00万元，占0.00%，比上年增加0.00万元，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主要原因是：本年无此项经费；公务用车购置及运行维护费支出180.82万元，占100.00%，比上年增加80.82万元，</w:t>
      </w:r>
      <w:r>
        <w:rPr>
          <w:rFonts w:hint="eastAsia" w:ascii="仿宋_GB2312" w:eastAsia="仿宋_GB2312"/>
          <w:sz w:val="32"/>
          <w:szCs w:val="32"/>
        </w:rPr>
        <w:t>增长80.82%,</w:t>
      </w:r>
      <w:r>
        <w:rPr>
          <w:rFonts w:hint="eastAsia" w:ascii="仿宋_GB2312" w:eastAsia="仿宋_GB2312"/>
          <w:sz w:val="32"/>
          <w:szCs w:val="32"/>
          <w:lang w:val="zh-CN"/>
        </w:rPr>
        <w:t>主要原因是：车辆老化，车辆维修费、燃油费等较上年增加；公务接待费支出0.00万元，占0.00%，比上年增加0.00万元，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公务用车购置及运行维护费180.82万元，其中：公务用车购置费0.00万元，公务用车运行维护费180.82万元。公务用车运行维护费开支内容包括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。公务用车购置数0辆，公务用车保有量148辆。国有资产占用情况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144辆，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原因是：我单位部分车辆是从其他单位借调的，车辆经费由我单位承担，所以公务用车保有量大于国有资产占用情况表中固定资产车辆。</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预算数180.82万元，决算数180.82万元，预决算差异率0.00%，主要原因是：本年严格按年初预算执行“三公”经费，预决算对比无差异。其中：因公出国（境）费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预算数180.82万元，决算数180.82万元，预决算差异率0.00%，主要原因是：本年严格按年初预算执行“三公”经费，预决算对比无差异；公务接待费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公安局（行政单位和参照公务员法管理事业单位）机关运行经费支出617.26万元，比上年增加156.01万元，增长33.82%，主要原因是：本年单位租赁费、办公设备购置、专用设备购置、公务用车运行维护费等较上年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2023年度政府采购支出总额126.09万元，其中：政府采购货物支出45.28万元、政府采购工程支出50.35万元、政府采购服务支出30.45万元。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授予中小企业合同金额125.37万元，占政府采购支出总额的99.43</w:t>
      </w:r>
      <w:r>
        <w:rPr>
          <w:rFonts w:ascii="仿宋_GB2312" w:eastAsia="仿宋_GB2312"/>
          <w:sz w:val="32"/>
          <w:szCs w:val="32"/>
        </w:rPr>
        <w:t>%</w:t>
      </w:r>
      <w:r>
        <w:rPr>
          <w:rFonts w:hint="eastAsia" w:ascii="仿宋_GB2312" w:eastAsia="仿宋_GB2312"/>
          <w:sz w:val="32"/>
          <w:szCs w:val="32"/>
        </w:rPr>
        <w:t>，其中：授予小微企业合同金额121.84万元，占政府采购支出总额的96.63</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截至2023年12月31日，固定资产原值24,513.72万元，房屋32</w:t>
      </w:r>
      <w:r>
        <w:rPr>
          <w:rFonts w:ascii="仿宋_GB2312" w:eastAsia="仿宋_GB2312"/>
          <w:sz w:val="32"/>
          <w:szCs w:val="32"/>
        </w:rPr>
        <w:t>,</w:t>
      </w:r>
      <w:r>
        <w:rPr>
          <w:rFonts w:hint="eastAsia" w:ascii="仿宋_GB2312" w:eastAsia="仿宋_GB2312"/>
          <w:sz w:val="32"/>
          <w:szCs w:val="32"/>
        </w:rPr>
        <w:t>174.03平方米，价值10,384.39万元。车辆144辆，价值1,795.33万元，其中：副部（省）级及以上领导用车0辆、主要负责人用车0辆、机要通信用车2辆、应急保障用车1辆、执法执勤用车134辆、特种专业技术用车0辆、离退休干部服务用车0辆、其他用车7辆，其他用车主要是：单位业务用车；单价100万元（含）以上设备（不含车辆）27台（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根据预算绩效管理要求，我单位2023年度预算绩效管理整体支出绩效自评表1个，全年预算总额</w:t>
      </w:r>
      <w:r>
        <w:rPr>
          <w:rFonts w:ascii="仿宋_GB2312" w:eastAsia="仿宋_GB2312"/>
          <w:sz w:val="32"/>
          <w:szCs w:val="32"/>
        </w:rPr>
        <w:t>13,712.14</w:t>
      </w:r>
      <w:r>
        <w:rPr>
          <w:rFonts w:hint="eastAsia" w:ascii="仿宋_GB2312" w:eastAsia="仿宋_GB2312"/>
          <w:sz w:val="32"/>
          <w:szCs w:val="32"/>
        </w:rPr>
        <w:t>万元，实际执行总额</w:t>
      </w:r>
      <w:r>
        <w:rPr>
          <w:rFonts w:ascii="仿宋_GB2312" w:eastAsia="仿宋_GB2312"/>
          <w:sz w:val="32"/>
          <w:szCs w:val="32"/>
        </w:rPr>
        <w:t>13,712.14</w:t>
      </w:r>
      <w:r>
        <w:rPr>
          <w:rFonts w:hint="eastAsia" w:ascii="仿宋_GB2312" w:eastAsia="仿宋_GB2312"/>
          <w:sz w:val="32"/>
          <w:szCs w:val="32"/>
        </w:rPr>
        <w:t>万元；预算绩效评价项目1个，全年预算数550.26万元，全年执行数0</w:t>
      </w:r>
      <w:r>
        <w:rPr>
          <w:rFonts w:ascii="仿宋_GB2312" w:eastAsia="仿宋_GB2312"/>
          <w:sz w:val="32"/>
          <w:szCs w:val="32"/>
        </w:rPr>
        <w:t>.00</w:t>
      </w:r>
      <w:r>
        <w:rPr>
          <w:rFonts w:hint="eastAsia" w:ascii="仿宋_GB2312" w:eastAsia="仿宋_GB2312"/>
          <w:sz w:val="32"/>
          <w:szCs w:val="32"/>
        </w:rPr>
        <w:t>万元。预算绩效管理取得的成效：</w:t>
      </w:r>
      <w:r>
        <w:rPr>
          <w:rFonts w:hint="eastAsia" w:ascii="仿宋_GB2312" w:eastAsia="仿宋_GB2312" w:cs="仿宋_GB2312"/>
          <w:kern w:val="0"/>
          <w:sz w:val="32"/>
          <w:szCs w:val="32"/>
        </w:rPr>
        <w:t>一是保障木垒城市报警与所有监控系统正常运行，监控城市治安环境，有效提高人民生活安全感</w:t>
      </w:r>
      <w:r>
        <w:rPr>
          <w:rFonts w:hint="eastAsia" w:ascii="仿宋_GB2312" w:eastAsia="仿宋_GB2312"/>
          <w:sz w:val="32"/>
          <w:szCs w:val="32"/>
        </w:rPr>
        <w:t>；二是做好群众服务工作，保障社会大局稳定，提高群众安全感。发现的问题及原因：</w:t>
      </w:r>
      <w:r>
        <w:rPr>
          <w:rFonts w:hint="eastAsia" w:ascii="仿宋_GB2312" w:eastAsia="仿宋_GB2312" w:cs="仿宋_GB2312"/>
          <w:kern w:val="0"/>
          <w:sz w:val="32"/>
          <w:szCs w:val="32"/>
        </w:rPr>
        <w:t>一是项目前期工作不全面，没有深入细致科学规划做好前期工作；二是预算绩效缺乏专业人员，未充分运用绩效成果</w:t>
      </w:r>
      <w:r>
        <w:rPr>
          <w:rFonts w:hint="eastAsia" w:ascii="仿宋_GB2312" w:eastAsia="仿宋_GB2312"/>
          <w:sz w:val="32"/>
          <w:szCs w:val="32"/>
        </w:rPr>
        <w:t>。下一步改进措施：</w:t>
      </w:r>
      <w:r>
        <w:rPr>
          <w:rFonts w:hint="eastAsia" w:ascii="仿宋_GB2312" w:eastAsia="仿宋_GB2312" w:cs="仿宋_GB2312"/>
          <w:kern w:val="0"/>
          <w:sz w:val="32"/>
          <w:szCs w:val="32"/>
        </w:rPr>
        <w:t>一是加强单位财务管理，健全单位财务管理制度规范单位财务行为。全面建设奖惩制度升入绩效理念；二是</w:t>
      </w:r>
      <w:r>
        <w:rPr>
          <w:rFonts w:hint="eastAsia" w:ascii="仿宋_GB2312" w:eastAsia="仿宋_GB2312"/>
          <w:sz w:val="32"/>
          <w:szCs w:val="32"/>
        </w:rPr>
        <w:t>提高部门整体支出绩效目标设定的合理性，重视部门整体支出绩效评价中的问题总结。具体项目自评情况附绩效自评表及自评报告。</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
        <w:gridCol w:w="650"/>
        <w:gridCol w:w="1218"/>
        <w:gridCol w:w="1273"/>
        <w:gridCol w:w="1274"/>
        <w:gridCol w:w="990"/>
        <w:gridCol w:w="851"/>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pPr>
              <w:widowControl/>
              <w:jc w:val="center"/>
              <w:rPr>
                <w:rFonts w:cs="宋体" w:asciiTheme="minorEastAsia" w:hAnsiTheme="minorEastAsia" w:eastAsiaTheme="minorEastAsia"/>
                <w:b/>
                <w:bCs/>
                <w:kern w:val="0"/>
                <w:sz w:val="32"/>
                <w:szCs w:val="32"/>
              </w:rPr>
            </w:pPr>
            <w:r>
              <w:rPr>
                <w:rFonts w:hint="eastAsia" w:cs="宋体" w:asciiTheme="minorEastAsia" w:hAnsiTheme="minorEastAsia" w:eastAsiaTheme="minorEastAsia"/>
                <w:b/>
                <w:bCs/>
                <w:kern w:val="0"/>
                <w:sz w:val="32"/>
                <w:szCs w:val="32"/>
              </w:rPr>
              <w:t>部门（单位）整体支出绩效目标自评表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44" w:type="dxa"/>
            <w:shd w:val="clear" w:color="auto" w:fill="auto"/>
            <w:noWrap/>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578" w:type="dxa"/>
            <w:gridSpan w:val="7"/>
            <w:shd w:val="clear" w:color="auto" w:fill="auto"/>
            <w:noWrap/>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木垒县公安局本级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44" w:type="dxa"/>
            <w:vMerge w:val="restart"/>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650"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218"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273"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274"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990"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1322"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44" w:type="dxa"/>
            <w:vMerge w:val="continue"/>
            <w:vAlign w:val="center"/>
          </w:tcPr>
          <w:p>
            <w:pPr>
              <w:widowControl/>
              <w:jc w:val="left"/>
              <w:rPr>
                <w:rFonts w:cs="宋体" w:asciiTheme="minorEastAsia" w:hAnsiTheme="minorEastAsia" w:eastAsiaTheme="minorEastAsia"/>
                <w:bCs/>
                <w:kern w:val="0"/>
                <w:sz w:val="20"/>
                <w:szCs w:val="20"/>
              </w:rPr>
            </w:pPr>
          </w:p>
        </w:tc>
        <w:tc>
          <w:tcPr>
            <w:tcW w:w="650" w:type="dxa"/>
            <w:shd w:val="clear" w:color="auto" w:fill="auto"/>
            <w:noWrap/>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218"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599.26</w:t>
            </w:r>
          </w:p>
        </w:tc>
        <w:tc>
          <w:tcPr>
            <w:tcW w:w="1273"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693.26</w:t>
            </w:r>
          </w:p>
        </w:tc>
        <w:tc>
          <w:tcPr>
            <w:tcW w:w="1274"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693.26</w:t>
            </w:r>
          </w:p>
        </w:tc>
        <w:tc>
          <w:tcPr>
            <w:tcW w:w="990"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851"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99.89%</w:t>
            </w:r>
          </w:p>
        </w:tc>
        <w:tc>
          <w:tcPr>
            <w:tcW w:w="1322"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44" w:type="dxa"/>
            <w:vMerge w:val="continue"/>
            <w:vAlign w:val="center"/>
          </w:tcPr>
          <w:p>
            <w:pPr>
              <w:widowControl/>
              <w:jc w:val="left"/>
              <w:rPr>
                <w:rFonts w:cs="宋体" w:asciiTheme="minorEastAsia" w:hAnsiTheme="minorEastAsia" w:eastAsiaTheme="minorEastAsia"/>
                <w:bCs/>
                <w:kern w:val="0"/>
                <w:sz w:val="20"/>
                <w:szCs w:val="20"/>
              </w:rPr>
            </w:pPr>
          </w:p>
        </w:tc>
        <w:tc>
          <w:tcPr>
            <w:tcW w:w="650"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218"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47</w:t>
            </w:r>
            <w:r>
              <w:rPr>
                <w:rFonts w:cs="宋体" w:asciiTheme="minorEastAsia" w:hAnsiTheme="minorEastAsia" w:eastAsiaTheme="minorEastAsia"/>
                <w:bCs/>
                <w:kern w:val="0"/>
                <w:sz w:val="20"/>
                <w:szCs w:val="20"/>
              </w:rPr>
              <w:t>.00</w:t>
            </w:r>
          </w:p>
        </w:tc>
        <w:tc>
          <w:tcPr>
            <w:tcW w:w="1273"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47</w:t>
            </w:r>
            <w:r>
              <w:rPr>
                <w:rFonts w:cs="宋体" w:asciiTheme="minorEastAsia" w:hAnsiTheme="minorEastAsia" w:eastAsiaTheme="minorEastAsia"/>
                <w:bCs/>
                <w:kern w:val="0"/>
                <w:sz w:val="20"/>
                <w:szCs w:val="20"/>
              </w:rPr>
              <w:t>.00</w:t>
            </w:r>
          </w:p>
        </w:tc>
        <w:tc>
          <w:tcPr>
            <w:tcW w:w="1274"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47</w:t>
            </w:r>
            <w:r>
              <w:rPr>
                <w:rFonts w:cs="宋体" w:asciiTheme="minorEastAsia" w:hAnsiTheme="minorEastAsia" w:eastAsiaTheme="minorEastAsia"/>
                <w:bCs/>
                <w:kern w:val="0"/>
                <w:sz w:val="20"/>
                <w:szCs w:val="20"/>
              </w:rPr>
              <w:t>.00</w:t>
            </w:r>
          </w:p>
        </w:tc>
        <w:tc>
          <w:tcPr>
            <w:tcW w:w="990"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322"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44" w:type="dxa"/>
            <w:vMerge w:val="continue"/>
            <w:vAlign w:val="center"/>
          </w:tcPr>
          <w:p>
            <w:pPr>
              <w:widowControl/>
              <w:jc w:val="left"/>
              <w:rPr>
                <w:rFonts w:cs="宋体" w:asciiTheme="minorEastAsia" w:hAnsiTheme="minorEastAsia" w:eastAsiaTheme="minorEastAsia"/>
                <w:bCs/>
                <w:kern w:val="0"/>
                <w:sz w:val="20"/>
                <w:szCs w:val="20"/>
              </w:rPr>
            </w:pPr>
          </w:p>
        </w:tc>
        <w:tc>
          <w:tcPr>
            <w:tcW w:w="650"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218"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273"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274"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0"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322"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44" w:type="dxa"/>
            <w:vMerge w:val="continue"/>
            <w:vAlign w:val="center"/>
          </w:tcPr>
          <w:p>
            <w:pPr>
              <w:widowControl/>
              <w:jc w:val="left"/>
              <w:rPr>
                <w:rFonts w:cs="宋体" w:asciiTheme="minorEastAsia" w:hAnsiTheme="minorEastAsia" w:eastAsiaTheme="minorEastAsia"/>
                <w:bCs/>
                <w:kern w:val="0"/>
                <w:sz w:val="20"/>
                <w:szCs w:val="20"/>
              </w:rPr>
            </w:pPr>
          </w:p>
        </w:tc>
        <w:tc>
          <w:tcPr>
            <w:tcW w:w="650"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218"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378.62</w:t>
            </w:r>
          </w:p>
        </w:tc>
        <w:tc>
          <w:tcPr>
            <w:tcW w:w="1273"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971.88</w:t>
            </w:r>
          </w:p>
        </w:tc>
        <w:tc>
          <w:tcPr>
            <w:tcW w:w="1274"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971.88</w:t>
            </w:r>
          </w:p>
        </w:tc>
        <w:tc>
          <w:tcPr>
            <w:tcW w:w="990"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rPr>
              <w:t>-</w:t>
            </w:r>
          </w:p>
        </w:tc>
        <w:tc>
          <w:tcPr>
            <w:tcW w:w="851"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rPr>
              <w:t>-</w:t>
            </w:r>
          </w:p>
        </w:tc>
        <w:tc>
          <w:tcPr>
            <w:tcW w:w="1322"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44" w:type="dxa"/>
            <w:vMerge w:val="continue"/>
            <w:vAlign w:val="center"/>
          </w:tcPr>
          <w:p>
            <w:pPr>
              <w:widowControl/>
              <w:jc w:val="left"/>
              <w:rPr>
                <w:rFonts w:cs="宋体" w:asciiTheme="minorEastAsia" w:hAnsiTheme="minorEastAsia" w:eastAsiaTheme="minorEastAsia"/>
                <w:bCs/>
                <w:kern w:val="0"/>
                <w:sz w:val="20"/>
                <w:szCs w:val="20"/>
              </w:rPr>
            </w:pPr>
          </w:p>
        </w:tc>
        <w:tc>
          <w:tcPr>
            <w:tcW w:w="650"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218"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273"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274"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0"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rPr>
              <w:t>-</w:t>
            </w:r>
          </w:p>
        </w:tc>
        <w:tc>
          <w:tcPr>
            <w:tcW w:w="851"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rPr>
              <w:t>-</w:t>
            </w:r>
          </w:p>
        </w:tc>
        <w:tc>
          <w:tcPr>
            <w:tcW w:w="1322"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44" w:type="dxa"/>
            <w:vMerge w:val="continue"/>
            <w:vAlign w:val="center"/>
          </w:tcPr>
          <w:p>
            <w:pPr>
              <w:widowControl/>
              <w:jc w:val="left"/>
              <w:rPr>
                <w:rFonts w:cs="宋体" w:asciiTheme="minorEastAsia" w:hAnsiTheme="minorEastAsia" w:eastAsiaTheme="minorEastAsia"/>
                <w:bCs/>
                <w:kern w:val="0"/>
                <w:sz w:val="20"/>
                <w:szCs w:val="20"/>
              </w:rPr>
            </w:pPr>
          </w:p>
        </w:tc>
        <w:tc>
          <w:tcPr>
            <w:tcW w:w="650"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218"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13</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024.88</w:t>
            </w:r>
          </w:p>
        </w:tc>
        <w:tc>
          <w:tcPr>
            <w:tcW w:w="1273"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13</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712.14</w:t>
            </w:r>
          </w:p>
        </w:tc>
        <w:tc>
          <w:tcPr>
            <w:tcW w:w="1274"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13</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712.14</w:t>
            </w:r>
          </w:p>
        </w:tc>
        <w:tc>
          <w:tcPr>
            <w:tcW w:w="990"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322"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44" w:type="dxa"/>
            <w:vMerge w:val="restart"/>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141" w:type="dxa"/>
            <w:gridSpan w:val="3"/>
            <w:shd w:val="clear" w:color="auto" w:fill="auto"/>
            <w:noWrap/>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4437" w:type="dxa"/>
            <w:gridSpan w:val="4"/>
            <w:shd w:val="clear" w:color="auto" w:fill="auto"/>
            <w:noWrap/>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944" w:type="dxa"/>
            <w:vMerge w:val="continue"/>
            <w:vAlign w:val="center"/>
          </w:tcPr>
          <w:p>
            <w:pPr>
              <w:widowControl/>
              <w:jc w:val="left"/>
              <w:rPr>
                <w:rFonts w:cs="宋体" w:asciiTheme="minorEastAsia" w:hAnsiTheme="minorEastAsia" w:eastAsiaTheme="minorEastAsia"/>
                <w:bCs/>
                <w:kern w:val="0"/>
                <w:sz w:val="20"/>
                <w:szCs w:val="20"/>
              </w:rPr>
            </w:pPr>
          </w:p>
        </w:tc>
        <w:tc>
          <w:tcPr>
            <w:tcW w:w="3141" w:type="dxa"/>
            <w:gridSpan w:val="3"/>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依法打击危害国家公共安全犯罪，组织侦破危害国内安全案件和刑事、经济犯罪案件和禁毒工作,打击信息网络违法犯罪，组织指导、监督相关重大侦查行动,协调处置相关重大案件、重大事件、重大治安灾害故，抓好维稳安保工作，全力维护木垒县公共安全和社会稳定，维护社会公平正义和国家长治久安。</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目标2：依法管理社会治安，户籍，居民身份证，危险品，特种行业和出入境工作。依法管理道路交通安全，维护交通秩序等其他社会治安管理工作。</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目标3：解决长期积累、久拖未决、特殊疑难信访个案。</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目标4：依法管理道路交通安全，维护交通秩序。</w:t>
            </w:r>
          </w:p>
        </w:tc>
        <w:tc>
          <w:tcPr>
            <w:tcW w:w="4437" w:type="dxa"/>
            <w:gridSpan w:val="4"/>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本次自评节点，我单位已依法打击了危害国家公共安全犯罪，组织侦破了危害国内安全案件和刑事、经济犯罪案件和禁毒工作,打击信息网络违法犯罪，组织指导、监督了相关重大侦查行动,协调处置了相关重大案件、重大事件、重大治安灾害故，抓好维稳安保工作，全力维护了木垒县公共安全和社会稳定，维护了社会公平正义和国家长治久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944"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650"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218"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273"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274"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990"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1322" w:type="dxa"/>
            <w:shd w:val="clear" w:color="auto" w:fill="auto"/>
            <w:vAlign w:val="center"/>
          </w:tcPr>
          <w:p>
            <w:pPr>
              <w:widowControl/>
              <w:jc w:val="center"/>
              <w:rPr>
                <w:rFonts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650" w:type="dxa"/>
            <w:vMerge w:val="restart"/>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18"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273"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&gt;=181人</w:t>
            </w:r>
          </w:p>
        </w:tc>
        <w:tc>
          <w:tcPr>
            <w:tcW w:w="1274"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木垒哈萨克自治县公安局主要职责内设机构和人员编制规定</w:t>
            </w:r>
          </w:p>
        </w:tc>
        <w:tc>
          <w:tcPr>
            <w:tcW w:w="990"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181人</w:t>
            </w:r>
          </w:p>
        </w:tc>
        <w:tc>
          <w:tcPr>
            <w:tcW w:w="1322"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vMerge w:val="restart"/>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650" w:type="dxa"/>
            <w:vMerge w:val="continue"/>
            <w:vAlign w:val="center"/>
          </w:tcPr>
          <w:p>
            <w:pPr>
              <w:widowControl/>
              <w:jc w:val="left"/>
              <w:rPr>
                <w:rFonts w:cs="宋体" w:asciiTheme="minorEastAsia" w:hAnsiTheme="minorEastAsia" w:eastAsiaTheme="minorEastAsia"/>
                <w:kern w:val="0"/>
                <w:sz w:val="20"/>
                <w:szCs w:val="20"/>
              </w:rPr>
            </w:pPr>
          </w:p>
        </w:tc>
        <w:tc>
          <w:tcPr>
            <w:tcW w:w="1218"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电路条数</w:t>
            </w:r>
          </w:p>
        </w:tc>
        <w:tc>
          <w:tcPr>
            <w:tcW w:w="1273"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&gt;=25000条</w:t>
            </w:r>
          </w:p>
        </w:tc>
        <w:tc>
          <w:tcPr>
            <w:tcW w:w="1274"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木垒哈萨克自治县公安局2023年工作计划</w:t>
            </w:r>
          </w:p>
        </w:tc>
        <w:tc>
          <w:tcPr>
            <w:tcW w:w="990"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25000条</w:t>
            </w:r>
          </w:p>
        </w:tc>
        <w:tc>
          <w:tcPr>
            <w:tcW w:w="1322"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vMerge w:val="continue"/>
            <w:vAlign w:val="center"/>
          </w:tcPr>
          <w:p>
            <w:pPr>
              <w:widowControl/>
              <w:jc w:val="left"/>
              <w:rPr>
                <w:rFonts w:cs="宋体" w:asciiTheme="minorEastAsia" w:hAnsiTheme="minorEastAsia" w:eastAsiaTheme="minorEastAsia"/>
                <w:kern w:val="0"/>
                <w:sz w:val="20"/>
                <w:szCs w:val="20"/>
              </w:rPr>
            </w:pPr>
          </w:p>
        </w:tc>
        <w:tc>
          <w:tcPr>
            <w:tcW w:w="650" w:type="dxa"/>
            <w:vMerge w:val="continue"/>
            <w:vAlign w:val="center"/>
          </w:tcPr>
          <w:p>
            <w:pPr>
              <w:widowControl/>
              <w:jc w:val="left"/>
              <w:rPr>
                <w:rFonts w:cs="宋体" w:asciiTheme="minorEastAsia" w:hAnsiTheme="minorEastAsia" w:eastAsiaTheme="minorEastAsia"/>
                <w:kern w:val="0"/>
                <w:sz w:val="20"/>
                <w:szCs w:val="20"/>
              </w:rPr>
            </w:pPr>
          </w:p>
        </w:tc>
        <w:tc>
          <w:tcPr>
            <w:tcW w:w="1218"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启用电子警察数量</w:t>
            </w:r>
          </w:p>
        </w:tc>
        <w:tc>
          <w:tcPr>
            <w:tcW w:w="1273"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&gt;=10000条</w:t>
            </w:r>
          </w:p>
        </w:tc>
        <w:tc>
          <w:tcPr>
            <w:tcW w:w="1274"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木垒哈萨克自治县公安局2023年工作计划</w:t>
            </w:r>
          </w:p>
        </w:tc>
        <w:tc>
          <w:tcPr>
            <w:tcW w:w="990"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1"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10000条</w:t>
            </w:r>
          </w:p>
        </w:tc>
        <w:tc>
          <w:tcPr>
            <w:tcW w:w="1322"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vMerge w:val="continue"/>
            <w:vAlign w:val="center"/>
          </w:tcPr>
          <w:p>
            <w:pPr>
              <w:widowControl/>
              <w:jc w:val="left"/>
              <w:rPr>
                <w:rFonts w:cs="宋体" w:asciiTheme="minorEastAsia" w:hAnsiTheme="minorEastAsia" w:eastAsiaTheme="minorEastAsia"/>
                <w:kern w:val="0"/>
                <w:sz w:val="20"/>
                <w:szCs w:val="20"/>
              </w:rPr>
            </w:pPr>
          </w:p>
        </w:tc>
        <w:tc>
          <w:tcPr>
            <w:tcW w:w="650" w:type="dxa"/>
            <w:vMerge w:val="continue"/>
            <w:vAlign w:val="center"/>
          </w:tcPr>
          <w:p>
            <w:pPr>
              <w:widowControl/>
              <w:jc w:val="left"/>
              <w:rPr>
                <w:rFonts w:cs="宋体" w:asciiTheme="minorEastAsia" w:hAnsiTheme="minorEastAsia" w:eastAsiaTheme="minorEastAsia"/>
                <w:kern w:val="0"/>
                <w:sz w:val="20"/>
                <w:szCs w:val="20"/>
              </w:rPr>
            </w:pPr>
          </w:p>
        </w:tc>
        <w:tc>
          <w:tcPr>
            <w:tcW w:w="1218"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装备、设备购置数量</w:t>
            </w:r>
          </w:p>
        </w:tc>
        <w:tc>
          <w:tcPr>
            <w:tcW w:w="1273"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&gt;=500件</w:t>
            </w:r>
          </w:p>
        </w:tc>
        <w:tc>
          <w:tcPr>
            <w:tcW w:w="1274"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木垒哈萨克自治县公安局2023年工作计划</w:t>
            </w:r>
          </w:p>
        </w:tc>
        <w:tc>
          <w:tcPr>
            <w:tcW w:w="990"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500件</w:t>
            </w:r>
          </w:p>
        </w:tc>
        <w:tc>
          <w:tcPr>
            <w:tcW w:w="1322"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vMerge w:val="restart"/>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650" w:type="dxa"/>
            <w:vMerge w:val="restart"/>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18"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破案率</w:t>
            </w:r>
          </w:p>
        </w:tc>
        <w:tc>
          <w:tcPr>
            <w:tcW w:w="1273"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&gt;=60%</w:t>
            </w:r>
          </w:p>
        </w:tc>
        <w:tc>
          <w:tcPr>
            <w:tcW w:w="1274"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木垒哈萨克自治县公安局2023年工作计划</w:t>
            </w:r>
          </w:p>
        </w:tc>
        <w:tc>
          <w:tcPr>
            <w:tcW w:w="990"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1"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60%</w:t>
            </w:r>
          </w:p>
        </w:tc>
        <w:tc>
          <w:tcPr>
            <w:tcW w:w="1322"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vMerge w:val="continue"/>
            <w:vAlign w:val="center"/>
          </w:tcPr>
          <w:p>
            <w:pPr>
              <w:widowControl/>
              <w:jc w:val="left"/>
              <w:rPr>
                <w:rFonts w:cs="宋体" w:asciiTheme="minorEastAsia" w:hAnsiTheme="minorEastAsia" w:eastAsiaTheme="minorEastAsia"/>
                <w:kern w:val="0"/>
                <w:sz w:val="20"/>
                <w:szCs w:val="20"/>
              </w:rPr>
            </w:pPr>
          </w:p>
        </w:tc>
        <w:tc>
          <w:tcPr>
            <w:tcW w:w="650" w:type="dxa"/>
            <w:vMerge w:val="continue"/>
            <w:vAlign w:val="center"/>
          </w:tcPr>
          <w:p>
            <w:pPr>
              <w:widowControl/>
              <w:jc w:val="left"/>
              <w:rPr>
                <w:rFonts w:cs="宋体" w:asciiTheme="minorEastAsia" w:hAnsiTheme="minorEastAsia" w:eastAsiaTheme="minorEastAsia"/>
                <w:kern w:val="0"/>
                <w:sz w:val="20"/>
                <w:szCs w:val="20"/>
              </w:rPr>
            </w:pPr>
          </w:p>
        </w:tc>
        <w:tc>
          <w:tcPr>
            <w:tcW w:w="1218"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有效证件办理准确率</w:t>
            </w:r>
          </w:p>
        </w:tc>
        <w:tc>
          <w:tcPr>
            <w:tcW w:w="1273"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274"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木垒哈萨克自治县公安局2023年工作计划</w:t>
            </w:r>
          </w:p>
        </w:tc>
        <w:tc>
          <w:tcPr>
            <w:tcW w:w="990"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1"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22" w:type="dxa"/>
            <w:shd w:val="clear" w:color="auto" w:fill="auto"/>
            <w:vAlign w:val="center"/>
          </w:tcPr>
          <w:p>
            <w:pPr>
              <w:widowControl/>
              <w:jc w:val="center"/>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vMerge w:val="continue"/>
            <w:vAlign w:val="center"/>
          </w:tcPr>
          <w:p>
            <w:pPr>
              <w:widowControl/>
              <w:jc w:val="left"/>
              <w:rPr>
                <w:rFonts w:cs="宋体" w:asciiTheme="minorEastAsia" w:hAnsiTheme="minorEastAsia" w:eastAsiaTheme="minorEastAsia"/>
                <w:kern w:val="0"/>
                <w:sz w:val="20"/>
                <w:szCs w:val="20"/>
              </w:rPr>
            </w:pPr>
          </w:p>
        </w:tc>
        <w:tc>
          <w:tcPr>
            <w:tcW w:w="650" w:type="dxa"/>
            <w:vMerge w:val="continue"/>
            <w:vAlign w:val="center"/>
          </w:tcPr>
          <w:p>
            <w:pPr>
              <w:widowControl/>
              <w:jc w:val="left"/>
              <w:rPr>
                <w:rFonts w:cs="宋体" w:asciiTheme="minorEastAsia" w:hAnsiTheme="minorEastAsia" w:eastAsiaTheme="minorEastAsia"/>
                <w:kern w:val="0"/>
                <w:sz w:val="20"/>
                <w:szCs w:val="20"/>
              </w:rPr>
            </w:pPr>
          </w:p>
        </w:tc>
        <w:tc>
          <w:tcPr>
            <w:tcW w:w="1218" w:type="dxa"/>
            <w:shd w:val="clear" w:color="auto" w:fill="auto"/>
            <w:noWrap/>
            <w:vAlign w:val="center"/>
          </w:tcPr>
          <w:p>
            <w:pPr>
              <w:widowControl/>
              <w:jc w:val="left"/>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犯罪嫌疑人基础信息采集率</w:t>
            </w:r>
          </w:p>
        </w:tc>
        <w:tc>
          <w:tcPr>
            <w:tcW w:w="1273" w:type="dxa"/>
            <w:shd w:val="clear" w:color="auto" w:fill="auto"/>
            <w:noWrap/>
            <w:vAlign w:val="center"/>
          </w:tcPr>
          <w:p>
            <w:pPr>
              <w:widowControl/>
              <w:jc w:val="left"/>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274" w:type="dxa"/>
            <w:shd w:val="clear" w:color="auto" w:fill="auto"/>
            <w:noWrap/>
            <w:vAlign w:val="center"/>
          </w:tcPr>
          <w:p>
            <w:pPr>
              <w:widowControl/>
              <w:jc w:val="left"/>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木垒哈萨克自治县公安局2023年工作计划</w:t>
            </w:r>
          </w:p>
        </w:tc>
        <w:tc>
          <w:tcPr>
            <w:tcW w:w="990" w:type="dxa"/>
            <w:shd w:val="clear" w:color="auto" w:fill="auto"/>
            <w:noWrap/>
            <w:vAlign w:val="center"/>
          </w:tcPr>
          <w:p>
            <w:pPr>
              <w:widowControl/>
              <w:jc w:val="left"/>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1" w:type="dxa"/>
            <w:shd w:val="clear" w:color="auto" w:fill="auto"/>
            <w:noWrap/>
            <w:vAlign w:val="center"/>
          </w:tcPr>
          <w:p>
            <w:pPr>
              <w:widowControl/>
              <w:jc w:val="left"/>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22" w:type="dxa"/>
            <w:shd w:val="clear" w:color="auto" w:fill="auto"/>
            <w:noWrap/>
            <w:vAlign w:val="center"/>
          </w:tcPr>
          <w:p>
            <w:pPr>
              <w:widowControl/>
              <w:jc w:val="left"/>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shd w:val="clear" w:color="auto" w:fill="auto"/>
            <w:noWrap/>
            <w:vAlign w:val="center"/>
          </w:tcPr>
          <w:p>
            <w:pPr>
              <w:widowControl/>
              <w:jc w:val="left"/>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650" w:type="dxa"/>
            <w:shd w:val="clear" w:color="auto" w:fill="auto"/>
            <w:noWrap/>
            <w:vAlign w:val="center"/>
          </w:tcPr>
          <w:p>
            <w:pPr>
              <w:widowControl/>
              <w:jc w:val="left"/>
              <w:rPr>
                <w:rFonts w:cs="宋体" w:asciiTheme="minorEastAsia" w:hAnsiTheme="minorEastAsia" w:eastAsiaTheme="minorEastAsia"/>
                <w:kern w:val="0"/>
                <w:sz w:val="20"/>
                <w:szCs w:val="20"/>
              </w:rPr>
            </w:pPr>
          </w:p>
        </w:tc>
        <w:tc>
          <w:tcPr>
            <w:tcW w:w="1218" w:type="dxa"/>
            <w:shd w:val="clear" w:color="auto" w:fill="auto"/>
            <w:noWrap/>
            <w:vAlign w:val="center"/>
          </w:tcPr>
          <w:p>
            <w:pPr>
              <w:widowControl/>
              <w:jc w:val="left"/>
              <w:rPr>
                <w:rFonts w:asciiTheme="minorEastAsia" w:hAnsiTheme="minorEastAsia" w:eastAsiaTheme="minorEastAsia"/>
                <w:kern w:val="0"/>
                <w:sz w:val="20"/>
                <w:szCs w:val="20"/>
              </w:rPr>
            </w:pPr>
          </w:p>
        </w:tc>
        <w:tc>
          <w:tcPr>
            <w:tcW w:w="1273" w:type="dxa"/>
            <w:shd w:val="clear" w:color="auto" w:fill="auto"/>
            <w:noWrap/>
            <w:vAlign w:val="center"/>
          </w:tcPr>
          <w:p>
            <w:pPr>
              <w:widowControl/>
              <w:jc w:val="left"/>
              <w:rPr>
                <w:rFonts w:asciiTheme="minorEastAsia" w:hAnsiTheme="minorEastAsia" w:eastAsiaTheme="minorEastAsia"/>
                <w:kern w:val="0"/>
                <w:sz w:val="20"/>
                <w:szCs w:val="20"/>
              </w:rPr>
            </w:pPr>
          </w:p>
        </w:tc>
        <w:tc>
          <w:tcPr>
            <w:tcW w:w="1274" w:type="dxa"/>
            <w:shd w:val="clear" w:color="auto" w:fill="auto"/>
            <w:noWrap/>
            <w:vAlign w:val="center"/>
          </w:tcPr>
          <w:p>
            <w:pPr>
              <w:widowControl/>
              <w:jc w:val="left"/>
              <w:rPr>
                <w:rFonts w:asciiTheme="minorEastAsia" w:hAnsiTheme="minorEastAsia" w:eastAsiaTheme="minorEastAsia"/>
                <w:kern w:val="0"/>
                <w:sz w:val="20"/>
                <w:szCs w:val="20"/>
              </w:rPr>
            </w:pPr>
          </w:p>
        </w:tc>
        <w:tc>
          <w:tcPr>
            <w:tcW w:w="990" w:type="dxa"/>
            <w:shd w:val="clear" w:color="auto" w:fill="auto"/>
            <w:noWrap/>
            <w:vAlign w:val="center"/>
          </w:tcPr>
          <w:p>
            <w:pPr>
              <w:widowControl/>
              <w:jc w:val="left"/>
              <w:rPr>
                <w:rFonts w:asciiTheme="minorEastAsia" w:hAnsiTheme="minorEastAsia" w:eastAsiaTheme="minorEastAsia"/>
                <w:kern w:val="0"/>
                <w:sz w:val="20"/>
                <w:szCs w:val="20"/>
              </w:rPr>
            </w:pPr>
          </w:p>
        </w:tc>
        <w:tc>
          <w:tcPr>
            <w:tcW w:w="851" w:type="dxa"/>
            <w:shd w:val="clear" w:color="auto" w:fill="auto"/>
            <w:noWrap/>
            <w:vAlign w:val="center"/>
          </w:tcPr>
          <w:p>
            <w:pPr>
              <w:widowControl/>
              <w:jc w:val="left"/>
              <w:rPr>
                <w:rFonts w:asciiTheme="minorEastAsia" w:hAnsiTheme="minorEastAsia" w:eastAsiaTheme="minorEastAsia"/>
                <w:kern w:val="0"/>
                <w:sz w:val="20"/>
                <w:szCs w:val="20"/>
              </w:rPr>
            </w:pPr>
          </w:p>
        </w:tc>
        <w:tc>
          <w:tcPr>
            <w:tcW w:w="1322" w:type="dxa"/>
            <w:shd w:val="clear" w:color="auto" w:fill="auto"/>
            <w:noWrap/>
            <w:vAlign w:val="center"/>
          </w:tcPr>
          <w:p>
            <w:pPr>
              <w:widowControl/>
              <w:jc w:val="left"/>
              <w:rPr>
                <w:rFonts w:asciiTheme="minorEastAsia"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shd w:val="clear" w:color="auto" w:fill="auto"/>
            <w:noWrap/>
            <w:vAlign w:val="center"/>
          </w:tcPr>
          <w:p>
            <w:pPr>
              <w:widowControl/>
              <w:jc w:val="left"/>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650" w:type="dxa"/>
            <w:shd w:val="clear" w:color="auto" w:fill="auto"/>
            <w:noWrap/>
            <w:vAlign w:val="center"/>
          </w:tcPr>
          <w:p>
            <w:pPr>
              <w:widowControl/>
              <w:jc w:val="left"/>
              <w:rPr>
                <w:rFonts w:cs="宋体" w:asciiTheme="minorEastAsia" w:hAnsiTheme="minorEastAsia" w:eastAsiaTheme="minorEastAsia"/>
                <w:kern w:val="0"/>
                <w:sz w:val="20"/>
                <w:szCs w:val="20"/>
              </w:rPr>
            </w:pPr>
          </w:p>
        </w:tc>
        <w:tc>
          <w:tcPr>
            <w:tcW w:w="1218" w:type="dxa"/>
            <w:shd w:val="clear" w:color="auto" w:fill="auto"/>
            <w:noWrap/>
            <w:vAlign w:val="center"/>
          </w:tcPr>
          <w:p>
            <w:pPr>
              <w:widowControl/>
              <w:jc w:val="left"/>
              <w:rPr>
                <w:rFonts w:asciiTheme="minorEastAsia" w:hAnsiTheme="minorEastAsia" w:eastAsiaTheme="minorEastAsia"/>
                <w:kern w:val="0"/>
                <w:sz w:val="20"/>
                <w:szCs w:val="20"/>
              </w:rPr>
            </w:pPr>
          </w:p>
        </w:tc>
        <w:tc>
          <w:tcPr>
            <w:tcW w:w="1273" w:type="dxa"/>
            <w:shd w:val="clear" w:color="auto" w:fill="auto"/>
            <w:noWrap/>
            <w:vAlign w:val="center"/>
          </w:tcPr>
          <w:p>
            <w:pPr>
              <w:widowControl/>
              <w:jc w:val="left"/>
              <w:rPr>
                <w:rFonts w:asciiTheme="minorEastAsia" w:hAnsiTheme="minorEastAsia" w:eastAsiaTheme="minorEastAsia"/>
                <w:kern w:val="0"/>
                <w:sz w:val="20"/>
                <w:szCs w:val="20"/>
              </w:rPr>
            </w:pPr>
          </w:p>
        </w:tc>
        <w:tc>
          <w:tcPr>
            <w:tcW w:w="1274" w:type="dxa"/>
            <w:shd w:val="clear" w:color="auto" w:fill="auto"/>
            <w:noWrap/>
            <w:vAlign w:val="center"/>
          </w:tcPr>
          <w:p>
            <w:pPr>
              <w:widowControl/>
              <w:jc w:val="left"/>
              <w:rPr>
                <w:rFonts w:asciiTheme="minorEastAsia" w:hAnsiTheme="minorEastAsia" w:eastAsiaTheme="minorEastAsia"/>
                <w:kern w:val="0"/>
                <w:sz w:val="20"/>
                <w:szCs w:val="20"/>
              </w:rPr>
            </w:pPr>
          </w:p>
        </w:tc>
        <w:tc>
          <w:tcPr>
            <w:tcW w:w="990" w:type="dxa"/>
            <w:shd w:val="clear" w:color="auto" w:fill="auto"/>
            <w:noWrap/>
            <w:vAlign w:val="center"/>
          </w:tcPr>
          <w:p>
            <w:pPr>
              <w:widowControl/>
              <w:jc w:val="left"/>
              <w:rPr>
                <w:rFonts w:asciiTheme="minorEastAsia" w:hAnsiTheme="minorEastAsia" w:eastAsiaTheme="minorEastAsia"/>
                <w:kern w:val="0"/>
                <w:sz w:val="20"/>
                <w:szCs w:val="20"/>
              </w:rPr>
            </w:pPr>
          </w:p>
        </w:tc>
        <w:tc>
          <w:tcPr>
            <w:tcW w:w="851" w:type="dxa"/>
            <w:shd w:val="clear" w:color="auto" w:fill="auto"/>
            <w:noWrap/>
            <w:vAlign w:val="center"/>
          </w:tcPr>
          <w:p>
            <w:pPr>
              <w:widowControl/>
              <w:jc w:val="left"/>
              <w:rPr>
                <w:rFonts w:asciiTheme="minorEastAsia" w:hAnsiTheme="minorEastAsia" w:eastAsiaTheme="minorEastAsia"/>
                <w:kern w:val="0"/>
                <w:sz w:val="20"/>
                <w:szCs w:val="20"/>
              </w:rPr>
            </w:pPr>
          </w:p>
        </w:tc>
        <w:tc>
          <w:tcPr>
            <w:tcW w:w="1322" w:type="dxa"/>
            <w:shd w:val="clear" w:color="auto" w:fill="auto"/>
            <w:noWrap/>
            <w:vAlign w:val="center"/>
          </w:tcPr>
          <w:p>
            <w:pPr>
              <w:widowControl/>
              <w:jc w:val="left"/>
              <w:rPr>
                <w:rFonts w:asciiTheme="minorEastAsia"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shd w:val="clear" w:color="auto" w:fill="auto"/>
            <w:noWrap/>
            <w:vAlign w:val="center"/>
          </w:tcPr>
          <w:p>
            <w:pPr>
              <w:widowControl/>
              <w:jc w:val="left"/>
              <w:rPr>
                <w:rFonts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650" w:type="dxa"/>
            <w:shd w:val="clear" w:color="auto" w:fill="auto"/>
            <w:noWrap/>
            <w:vAlign w:val="center"/>
          </w:tcPr>
          <w:p>
            <w:pPr>
              <w:widowControl/>
              <w:jc w:val="left"/>
              <w:rPr>
                <w:rFonts w:cs="宋体" w:asciiTheme="minorEastAsia" w:hAnsiTheme="minorEastAsia" w:eastAsiaTheme="minorEastAsia"/>
                <w:kern w:val="0"/>
                <w:sz w:val="20"/>
                <w:szCs w:val="20"/>
              </w:rPr>
            </w:pPr>
          </w:p>
        </w:tc>
        <w:tc>
          <w:tcPr>
            <w:tcW w:w="1218" w:type="dxa"/>
            <w:shd w:val="clear" w:color="auto" w:fill="auto"/>
            <w:noWrap/>
            <w:vAlign w:val="center"/>
          </w:tcPr>
          <w:p>
            <w:pPr>
              <w:widowControl/>
              <w:jc w:val="left"/>
              <w:rPr>
                <w:rFonts w:asciiTheme="minorEastAsia" w:hAnsiTheme="minorEastAsia" w:eastAsiaTheme="minorEastAsia"/>
                <w:kern w:val="0"/>
                <w:sz w:val="20"/>
                <w:szCs w:val="20"/>
              </w:rPr>
            </w:pPr>
          </w:p>
        </w:tc>
        <w:tc>
          <w:tcPr>
            <w:tcW w:w="1273" w:type="dxa"/>
            <w:shd w:val="clear" w:color="auto" w:fill="auto"/>
            <w:noWrap/>
            <w:vAlign w:val="center"/>
          </w:tcPr>
          <w:p>
            <w:pPr>
              <w:widowControl/>
              <w:jc w:val="left"/>
              <w:rPr>
                <w:rFonts w:asciiTheme="minorEastAsia" w:hAnsiTheme="minorEastAsia" w:eastAsiaTheme="minorEastAsia"/>
                <w:kern w:val="0"/>
                <w:sz w:val="20"/>
                <w:szCs w:val="20"/>
              </w:rPr>
            </w:pPr>
          </w:p>
        </w:tc>
        <w:tc>
          <w:tcPr>
            <w:tcW w:w="1274" w:type="dxa"/>
            <w:shd w:val="clear" w:color="auto" w:fill="auto"/>
            <w:noWrap/>
            <w:vAlign w:val="center"/>
          </w:tcPr>
          <w:p>
            <w:pPr>
              <w:widowControl/>
              <w:jc w:val="left"/>
              <w:rPr>
                <w:rFonts w:asciiTheme="minorEastAsia" w:hAnsiTheme="minorEastAsia" w:eastAsiaTheme="minorEastAsia"/>
                <w:kern w:val="0"/>
                <w:sz w:val="20"/>
                <w:szCs w:val="20"/>
              </w:rPr>
            </w:pPr>
          </w:p>
        </w:tc>
        <w:tc>
          <w:tcPr>
            <w:tcW w:w="990" w:type="dxa"/>
            <w:shd w:val="clear" w:color="auto" w:fill="auto"/>
            <w:noWrap/>
            <w:vAlign w:val="center"/>
          </w:tcPr>
          <w:p>
            <w:pPr>
              <w:widowControl/>
              <w:jc w:val="left"/>
              <w:rPr>
                <w:rFonts w:asciiTheme="minorEastAsia" w:hAnsiTheme="minorEastAsia" w:eastAsiaTheme="minorEastAsia"/>
                <w:kern w:val="0"/>
                <w:sz w:val="20"/>
                <w:szCs w:val="20"/>
              </w:rPr>
            </w:pPr>
          </w:p>
        </w:tc>
        <w:tc>
          <w:tcPr>
            <w:tcW w:w="851" w:type="dxa"/>
            <w:shd w:val="clear" w:color="auto" w:fill="auto"/>
            <w:noWrap/>
            <w:vAlign w:val="center"/>
          </w:tcPr>
          <w:p>
            <w:pPr>
              <w:widowControl/>
              <w:jc w:val="left"/>
              <w:rPr>
                <w:rFonts w:asciiTheme="minorEastAsia" w:hAnsiTheme="minorEastAsia" w:eastAsiaTheme="minorEastAsia"/>
                <w:kern w:val="0"/>
                <w:sz w:val="20"/>
                <w:szCs w:val="20"/>
              </w:rPr>
            </w:pPr>
          </w:p>
        </w:tc>
        <w:tc>
          <w:tcPr>
            <w:tcW w:w="1322" w:type="dxa"/>
            <w:shd w:val="clear" w:color="auto" w:fill="auto"/>
            <w:noWrap/>
            <w:vAlign w:val="center"/>
          </w:tcPr>
          <w:p>
            <w:pPr>
              <w:widowControl/>
              <w:jc w:val="left"/>
              <w:rPr>
                <w:rFonts w:asciiTheme="minorEastAsia" w:hAnsiTheme="minorEastAsia" w:eastAsiaTheme="minorEastAsia"/>
                <w:kern w:val="0"/>
                <w:sz w:val="20"/>
                <w:szCs w:val="20"/>
              </w:rPr>
            </w:pPr>
          </w:p>
        </w:tc>
      </w:tr>
    </w:tbl>
    <w:p>
      <w:pPr>
        <w:ind w:firstLine="643" w:firstLineChars="200"/>
        <w:jc w:val="left"/>
        <w:rPr>
          <w:rFonts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978"/>
        <w:gridCol w:w="1321"/>
        <w:gridCol w:w="441"/>
        <w:gridCol w:w="920"/>
        <w:gridCol w:w="1435"/>
        <w:gridCol w:w="837"/>
        <w:gridCol w:w="247"/>
        <w:gridCol w:w="471"/>
        <w:gridCol w:w="424"/>
        <w:gridCol w:w="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2"/>
            <w:shd w:val="clear" w:color="auto" w:fill="auto"/>
            <w:vAlign w:val="center"/>
          </w:tcPr>
          <w:p>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4511" w:type="pct"/>
            <w:gridSpan w:val="10"/>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木垒县公安局电路租赁费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147" w:type="pct"/>
            <w:gridSpan w:val="4"/>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木垒县公安局本级</w:t>
            </w:r>
          </w:p>
        </w:tc>
        <w:tc>
          <w:tcPr>
            <w:tcW w:w="84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1522" w:type="pct"/>
            <w:gridSpan w:val="5"/>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木垒县公安局本级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573"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75"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798"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84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636"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525"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36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pPr>
              <w:widowControl/>
              <w:jc w:val="left"/>
              <w:rPr>
                <w:rFonts w:ascii="宋体" w:hAnsi="宋体" w:cs="宋体"/>
                <w:color w:val="000000"/>
                <w:kern w:val="0"/>
                <w:sz w:val="20"/>
                <w:szCs w:val="20"/>
              </w:rPr>
            </w:pPr>
          </w:p>
        </w:tc>
        <w:tc>
          <w:tcPr>
            <w:tcW w:w="573"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775"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550.26</w:t>
            </w:r>
          </w:p>
        </w:tc>
        <w:tc>
          <w:tcPr>
            <w:tcW w:w="798"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550.26</w:t>
            </w:r>
          </w:p>
        </w:tc>
        <w:tc>
          <w:tcPr>
            <w:tcW w:w="84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636"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525"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36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pPr>
              <w:widowControl/>
              <w:jc w:val="left"/>
              <w:rPr>
                <w:rFonts w:ascii="宋体" w:hAnsi="宋体" w:cs="宋体"/>
                <w:color w:val="000000"/>
                <w:kern w:val="0"/>
                <w:sz w:val="20"/>
                <w:szCs w:val="20"/>
              </w:rPr>
            </w:pPr>
          </w:p>
        </w:tc>
        <w:tc>
          <w:tcPr>
            <w:tcW w:w="573"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75"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550.26</w:t>
            </w:r>
          </w:p>
        </w:tc>
        <w:tc>
          <w:tcPr>
            <w:tcW w:w="798"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550.26</w:t>
            </w:r>
          </w:p>
        </w:tc>
        <w:tc>
          <w:tcPr>
            <w:tcW w:w="84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636"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525"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36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pPr>
              <w:widowControl/>
              <w:jc w:val="left"/>
              <w:rPr>
                <w:rFonts w:ascii="宋体" w:hAnsi="宋体" w:cs="宋体"/>
                <w:color w:val="000000"/>
                <w:kern w:val="0"/>
                <w:sz w:val="20"/>
                <w:szCs w:val="20"/>
              </w:rPr>
            </w:pPr>
            <w:bookmarkStart w:id="48" w:name="_GoBack"/>
            <w:bookmarkEnd w:id="48"/>
          </w:p>
        </w:tc>
        <w:tc>
          <w:tcPr>
            <w:tcW w:w="573" w:type="pct"/>
            <w:shd w:val="clear" w:color="auto" w:fill="auto"/>
            <w:vAlign w:val="center"/>
          </w:tcPr>
          <w:p>
            <w:pPr>
              <w:widowControl/>
              <w:jc w:val="center"/>
              <w:rPr>
                <w:rFonts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775" w:type="pct"/>
            <w:shd w:val="clear" w:color="auto" w:fill="auto"/>
            <w:vAlign w:val="center"/>
          </w:tcPr>
          <w:p>
            <w:pPr>
              <w:widowControl/>
              <w:jc w:val="center"/>
              <w:rPr>
                <w:rFonts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98" w:type="pct"/>
            <w:gridSpan w:val="2"/>
            <w:shd w:val="clear" w:color="auto" w:fill="auto"/>
            <w:vAlign w:val="center"/>
          </w:tcPr>
          <w:p>
            <w:pPr>
              <w:widowControl/>
              <w:jc w:val="center"/>
              <w:rPr>
                <w:rFonts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41" w:type="pct"/>
            <w:shd w:val="clear" w:color="auto" w:fill="auto"/>
            <w:vAlign w:val="center"/>
          </w:tcPr>
          <w:p>
            <w:pPr>
              <w:widowControl/>
              <w:jc w:val="center"/>
              <w:rPr>
                <w:rFonts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36"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525"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36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2391" w:type="pct"/>
            <w:gridSpan w:val="5"/>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2364" w:type="pct"/>
            <w:gridSpan w:val="6"/>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pPr>
              <w:widowControl/>
              <w:jc w:val="left"/>
              <w:rPr>
                <w:rFonts w:ascii="宋体" w:hAnsi="宋体" w:cs="宋体"/>
                <w:color w:val="000000"/>
                <w:kern w:val="0"/>
                <w:sz w:val="20"/>
                <w:szCs w:val="20"/>
              </w:rPr>
            </w:pPr>
          </w:p>
        </w:tc>
        <w:tc>
          <w:tcPr>
            <w:tcW w:w="2391" w:type="pct"/>
            <w:gridSpan w:val="5"/>
            <w:shd w:val="clear" w:color="auto" w:fill="auto"/>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目标1：完成木垒县全域内监控、公安网、非接触安装9+1电路租赁费。目标2：用于视频会议专线、边境维稳指挥部，确保正常运行。目标3：用于重点场所、高空云台、派出所、公安交警电子警察，确保全县监控路线正常运转。</w:t>
            </w:r>
          </w:p>
        </w:tc>
        <w:tc>
          <w:tcPr>
            <w:tcW w:w="2364" w:type="pct"/>
            <w:gridSpan w:val="6"/>
            <w:shd w:val="clear" w:color="auto" w:fill="auto"/>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截至项目自评，我单位已完成如下工作：电路条数26000条，电子警察数量12000条，电路租赁支付及时率均达到95%以上。完成木垒县全域内监控、公安网、非接触安装9+1电路租赁费。完成视频会议专线、边境维稳指挥部，确保正常运行。完成用于重点场所、高空云台、派出所、公安交警电子警察，确保全县监控路线正常运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44" w:type="pct"/>
            <w:vMerge w:val="restar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573" w:type="pct"/>
            <w:vMerge w:val="restar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1033" w:type="pct"/>
            <w:gridSpan w:val="2"/>
            <w:vMerge w:val="restar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539" w:type="pct"/>
            <w:vMerge w:val="restar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841" w:type="pct"/>
            <w:vMerge w:val="restar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491" w:type="pct"/>
            <w:vMerge w:val="restar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421" w:type="pct"/>
            <w:gridSpan w:val="2"/>
            <w:vMerge w:val="restar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610" w:type="pct"/>
            <w:gridSpan w:val="2"/>
            <w:vMerge w:val="restar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pPr>
              <w:widowControl/>
              <w:jc w:val="left"/>
              <w:rPr>
                <w:rFonts w:ascii="宋体" w:hAnsi="宋体" w:cs="宋体"/>
                <w:color w:val="000000"/>
                <w:kern w:val="0"/>
                <w:sz w:val="20"/>
                <w:szCs w:val="20"/>
              </w:rPr>
            </w:pPr>
          </w:p>
        </w:tc>
        <w:tc>
          <w:tcPr>
            <w:tcW w:w="244" w:type="pct"/>
            <w:vMerge w:val="continue"/>
            <w:vAlign w:val="center"/>
          </w:tcPr>
          <w:p>
            <w:pPr>
              <w:widowControl/>
              <w:jc w:val="left"/>
              <w:rPr>
                <w:rFonts w:ascii="宋体" w:hAnsi="宋体" w:cs="宋体"/>
                <w:color w:val="000000"/>
                <w:kern w:val="0"/>
                <w:sz w:val="20"/>
                <w:szCs w:val="20"/>
              </w:rPr>
            </w:pPr>
          </w:p>
        </w:tc>
        <w:tc>
          <w:tcPr>
            <w:tcW w:w="573" w:type="pct"/>
            <w:vMerge w:val="continue"/>
            <w:vAlign w:val="center"/>
          </w:tcPr>
          <w:p>
            <w:pPr>
              <w:widowControl/>
              <w:jc w:val="left"/>
              <w:rPr>
                <w:rFonts w:ascii="宋体" w:hAnsi="宋体" w:cs="宋体"/>
                <w:color w:val="000000"/>
                <w:kern w:val="0"/>
                <w:sz w:val="20"/>
                <w:szCs w:val="20"/>
              </w:rPr>
            </w:pPr>
          </w:p>
        </w:tc>
        <w:tc>
          <w:tcPr>
            <w:tcW w:w="1033" w:type="pct"/>
            <w:gridSpan w:val="2"/>
            <w:vMerge w:val="continue"/>
            <w:vAlign w:val="center"/>
          </w:tcPr>
          <w:p>
            <w:pPr>
              <w:widowControl/>
              <w:jc w:val="left"/>
              <w:rPr>
                <w:rFonts w:ascii="宋体" w:hAnsi="宋体" w:cs="宋体"/>
                <w:color w:val="000000"/>
                <w:kern w:val="0"/>
                <w:sz w:val="20"/>
                <w:szCs w:val="20"/>
              </w:rPr>
            </w:pPr>
          </w:p>
        </w:tc>
        <w:tc>
          <w:tcPr>
            <w:tcW w:w="539" w:type="pct"/>
            <w:vMerge w:val="continue"/>
            <w:vAlign w:val="center"/>
          </w:tcPr>
          <w:p>
            <w:pPr>
              <w:widowControl/>
              <w:jc w:val="left"/>
              <w:rPr>
                <w:rFonts w:ascii="宋体" w:hAnsi="宋体" w:cs="宋体"/>
                <w:color w:val="000000"/>
                <w:kern w:val="0"/>
                <w:sz w:val="20"/>
                <w:szCs w:val="20"/>
              </w:rPr>
            </w:pPr>
          </w:p>
        </w:tc>
        <w:tc>
          <w:tcPr>
            <w:tcW w:w="841" w:type="pct"/>
            <w:vMerge w:val="continue"/>
            <w:vAlign w:val="center"/>
          </w:tcPr>
          <w:p>
            <w:pPr>
              <w:widowControl/>
              <w:jc w:val="left"/>
              <w:rPr>
                <w:rFonts w:ascii="宋体" w:hAnsi="宋体" w:cs="宋体"/>
                <w:color w:val="000000"/>
                <w:kern w:val="0"/>
                <w:sz w:val="20"/>
                <w:szCs w:val="20"/>
              </w:rPr>
            </w:pPr>
          </w:p>
        </w:tc>
        <w:tc>
          <w:tcPr>
            <w:tcW w:w="491" w:type="pct"/>
            <w:vMerge w:val="continue"/>
            <w:vAlign w:val="center"/>
          </w:tcPr>
          <w:p>
            <w:pPr>
              <w:widowControl/>
              <w:jc w:val="left"/>
              <w:rPr>
                <w:rFonts w:ascii="宋体" w:hAnsi="宋体" w:cs="宋体"/>
                <w:color w:val="000000"/>
                <w:kern w:val="0"/>
                <w:sz w:val="20"/>
                <w:szCs w:val="20"/>
              </w:rPr>
            </w:pPr>
          </w:p>
        </w:tc>
        <w:tc>
          <w:tcPr>
            <w:tcW w:w="421" w:type="pct"/>
            <w:gridSpan w:val="2"/>
            <w:vMerge w:val="continue"/>
            <w:vAlign w:val="center"/>
          </w:tcPr>
          <w:p>
            <w:pPr>
              <w:widowControl/>
              <w:jc w:val="left"/>
              <w:rPr>
                <w:rFonts w:ascii="宋体" w:hAnsi="宋体" w:cs="宋体"/>
                <w:color w:val="000000"/>
                <w:kern w:val="0"/>
                <w:sz w:val="20"/>
                <w:szCs w:val="20"/>
              </w:rPr>
            </w:pPr>
          </w:p>
        </w:tc>
        <w:tc>
          <w:tcPr>
            <w:tcW w:w="610" w:type="pct"/>
            <w:gridSpan w:val="2"/>
            <w:vMerge w:val="continue"/>
            <w:vAlign w:val="center"/>
          </w:tcPr>
          <w:p>
            <w:pPr>
              <w:widowControl/>
              <w:jc w:val="lef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573"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033" w:type="pct"/>
            <w:gridSpan w:val="2"/>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电路条数</w:t>
            </w:r>
          </w:p>
        </w:tc>
        <w:tc>
          <w:tcPr>
            <w:tcW w:w="539"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&gt;=25000条</w:t>
            </w:r>
          </w:p>
        </w:tc>
        <w:tc>
          <w:tcPr>
            <w:tcW w:w="84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=26000条</w:t>
            </w:r>
          </w:p>
        </w:tc>
        <w:tc>
          <w:tcPr>
            <w:tcW w:w="49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421"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4.8</w:t>
            </w:r>
          </w:p>
        </w:tc>
        <w:tc>
          <w:tcPr>
            <w:tcW w:w="610"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pPr>
              <w:widowControl/>
              <w:jc w:val="left"/>
              <w:rPr>
                <w:rFonts w:ascii="宋体" w:hAnsi="宋体" w:cs="宋体"/>
                <w:color w:val="000000"/>
                <w:kern w:val="0"/>
                <w:sz w:val="20"/>
                <w:szCs w:val="20"/>
              </w:rPr>
            </w:pPr>
          </w:p>
        </w:tc>
        <w:tc>
          <w:tcPr>
            <w:tcW w:w="244" w:type="pct"/>
            <w:vMerge w:val="continue"/>
            <w:vAlign w:val="center"/>
          </w:tcPr>
          <w:p>
            <w:pPr>
              <w:widowControl/>
              <w:jc w:val="left"/>
              <w:rPr>
                <w:rFonts w:ascii="宋体" w:hAnsi="宋体" w:cs="宋体"/>
                <w:color w:val="000000"/>
                <w:kern w:val="0"/>
                <w:sz w:val="20"/>
                <w:szCs w:val="20"/>
              </w:rPr>
            </w:pPr>
          </w:p>
        </w:tc>
        <w:tc>
          <w:tcPr>
            <w:tcW w:w="573"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033" w:type="pct"/>
            <w:gridSpan w:val="2"/>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电子警察数量</w:t>
            </w:r>
          </w:p>
        </w:tc>
        <w:tc>
          <w:tcPr>
            <w:tcW w:w="539"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&gt;=10000条</w:t>
            </w:r>
          </w:p>
        </w:tc>
        <w:tc>
          <w:tcPr>
            <w:tcW w:w="84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=12000条</w:t>
            </w:r>
          </w:p>
        </w:tc>
        <w:tc>
          <w:tcPr>
            <w:tcW w:w="49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421"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10"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pPr>
              <w:widowControl/>
              <w:jc w:val="left"/>
              <w:rPr>
                <w:rFonts w:ascii="宋体" w:hAnsi="宋体" w:cs="宋体"/>
                <w:color w:val="000000"/>
                <w:kern w:val="0"/>
                <w:sz w:val="20"/>
                <w:szCs w:val="20"/>
              </w:rPr>
            </w:pPr>
          </w:p>
        </w:tc>
        <w:tc>
          <w:tcPr>
            <w:tcW w:w="244" w:type="pct"/>
            <w:vMerge w:val="continue"/>
            <w:vAlign w:val="center"/>
          </w:tcPr>
          <w:p>
            <w:pPr>
              <w:widowControl/>
              <w:jc w:val="left"/>
              <w:rPr>
                <w:rFonts w:ascii="宋体" w:hAnsi="宋体" w:cs="宋体"/>
                <w:color w:val="000000"/>
                <w:kern w:val="0"/>
                <w:sz w:val="20"/>
                <w:szCs w:val="20"/>
              </w:rPr>
            </w:pPr>
          </w:p>
        </w:tc>
        <w:tc>
          <w:tcPr>
            <w:tcW w:w="573"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033" w:type="pct"/>
            <w:gridSpan w:val="2"/>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全域监控运行率</w:t>
            </w:r>
          </w:p>
        </w:tc>
        <w:tc>
          <w:tcPr>
            <w:tcW w:w="539"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84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49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421"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10"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pPr>
              <w:widowControl/>
              <w:jc w:val="left"/>
              <w:rPr>
                <w:rFonts w:ascii="宋体" w:hAnsi="宋体" w:cs="宋体"/>
                <w:color w:val="000000"/>
                <w:kern w:val="0"/>
                <w:sz w:val="20"/>
                <w:szCs w:val="20"/>
              </w:rPr>
            </w:pPr>
          </w:p>
        </w:tc>
        <w:tc>
          <w:tcPr>
            <w:tcW w:w="244" w:type="pct"/>
            <w:vMerge w:val="continue"/>
            <w:vAlign w:val="center"/>
          </w:tcPr>
          <w:p>
            <w:pPr>
              <w:widowControl/>
              <w:jc w:val="left"/>
              <w:rPr>
                <w:rFonts w:ascii="宋体" w:hAnsi="宋体" w:cs="宋体"/>
                <w:color w:val="000000"/>
                <w:kern w:val="0"/>
                <w:sz w:val="20"/>
                <w:szCs w:val="20"/>
              </w:rPr>
            </w:pPr>
          </w:p>
        </w:tc>
        <w:tc>
          <w:tcPr>
            <w:tcW w:w="573"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033" w:type="pct"/>
            <w:gridSpan w:val="2"/>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电子警察抓拍率</w:t>
            </w:r>
          </w:p>
        </w:tc>
        <w:tc>
          <w:tcPr>
            <w:tcW w:w="539"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4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49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421"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10"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pPr>
              <w:widowControl/>
              <w:jc w:val="left"/>
              <w:rPr>
                <w:rFonts w:ascii="宋体" w:hAnsi="宋体" w:cs="宋体"/>
                <w:color w:val="000000"/>
                <w:kern w:val="0"/>
                <w:sz w:val="20"/>
                <w:szCs w:val="20"/>
              </w:rPr>
            </w:pPr>
          </w:p>
        </w:tc>
        <w:tc>
          <w:tcPr>
            <w:tcW w:w="244" w:type="pct"/>
            <w:vMerge w:val="continue"/>
            <w:vAlign w:val="center"/>
          </w:tcPr>
          <w:p>
            <w:pPr>
              <w:widowControl/>
              <w:jc w:val="left"/>
              <w:rPr>
                <w:rFonts w:ascii="宋体" w:hAnsi="宋体" w:cs="宋体"/>
                <w:color w:val="000000"/>
                <w:kern w:val="0"/>
                <w:sz w:val="20"/>
                <w:szCs w:val="20"/>
              </w:rPr>
            </w:pPr>
          </w:p>
        </w:tc>
        <w:tc>
          <w:tcPr>
            <w:tcW w:w="573"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033" w:type="pct"/>
            <w:gridSpan w:val="2"/>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系统故障率</w:t>
            </w:r>
          </w:p>
        </w:tc>
        <w:tc>
          <w:tcPr>
            <w:tcW w:w="539"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&lt;=3%</w:t>
            </w:r>
          </w:p>
        </w:tc>
        <w:tc>
          <w:tcPr>
            <w:tcW w:w="84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49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421"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10"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pPr>
              <w:widowControl/>
              <w:jc w:val="left"/>
              <w:rPr>
                <w:rFonts w:ascii="宋体" w:hAnsi="宋体" w:cs="宋体"/>
                <w:color w:val="000000"/>
                <w:kern w:val="0"/>
                <w:sz w:val="20"/>
                <w:szCs w:val="20"/>
              </w:rPr>
            </w:pPr>
          </w:p>
        </w:tc>
        <w:tc>
          <w:tcPr>
            <w:tcW w:w="244" w:type="pct"/>
            <w:vMerge w:val="continue"/>
            <w:vAlign w:val="center"/>
          </w:tcPr>
          <w:p>
            <w:pPr>
              <w:widowControl/>
              <w:jc w:val="left"/>
              <w:rPr>
                <w:rFonts w:ascii="宋体" w:hAnsi="宋体" w:cs="宋体"/>
                <w:color w:val="000000"/>
                <w:kern w:val="0"/>
                <w:sz w:val="20"/>
                <w:szCs w:val="20"/>
              </w:rPr>
            </w:pPr>
          </w:p>
        </w:tc>
        <w:tc>
          <w:tcPr>
            <w:tcW w:w="573"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033" w:type="pct"/>
            <w:gridSpan w:val="2"/>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电路租赁支付及时率</w:t>
            </w:r>
          </w:p>
        </w:tc>
        <w:tc>
          <w:tcPr>
            <w:tcW w:w="539"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84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49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421"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10"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pPr>
              <w:widowControl/>
              <w:jc w:val="left"/>
              <w:rPr>
                <w:rFonts w:ascii="宋体" w:hAnsi="宋体" w:cs="宋体"/>
                <w:color w:val="000000"/>
                <w:kern w:val="0"/>
                <w:sz w:val="20"/>
                <w:szCs w:val="20"/>
              </w:rPr>
            </w:pPr>
          </w:p>
        </w:tc>
        <w:tc>
          <w:tcPr>
            <w:tcW w:w="244" w:type="pct"/>
            <w:vMerge w:val="continue"/>
            <w:vAlign w:val="center"/>
          </w:tcPr>
          <w:p>
            <w:pPr>
              <w:widowControl/>
              <w:jc w:val="left"/>
              <w:rPr>
                <w:rFonts w:ascii="宋体" w:hAnsi="宋体" w:cs="宋体"/>
                <w:color w:val="000000"/>
                <w:kern w:val="0"/>
                <w:sz w:val="20"/>
                <w:szCs w:val="20"/>
              </w:rPr>
            </w:pPr>
          </w:p>
        </w:tc>
        <w:tc>
          <w:tcPr>
            <w:tcW w:w="573"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033" w:type="pct"/>
            <w:gridSpan w:val="2"/>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系统故障修复及时率</w:t>
            </w:r>
          </w:p>
        </w:tc>
        <w:tc>
          <w:tcPr>
            <w:tcW w:w="539"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4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49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421"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10"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pPr>
              <w:widowControl/>
              <w:jc w:val="left"/>
              <w:rPr>
                <w:rFonts w:ascii="宋体" w:hAnsi="宋体" w:cs="宋体"/>
                <w:color w:val="000000"/>
                <w:kern w:val="0"/>
                <w:sz w:val="20"/>
                <w:szCs w:val="20"/>
              </w:rPr>
            </w:pPr>
          </w:p>
        </w:tc>
        <w:tc>
          <w:tcPr>
            <w:tcW w:w="244" w:type="pct"/>
            <w:vMerge w:val="restar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573"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1033" w:type="pct"/>
            <w:gridSpan w:val="2"/>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项目预算控制率</w:t>
            </w:r>
          </w:p>
        </w:tc>
        <w:tc>
          <w:tcPr>
            <w:tcW w:w="539"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&lt;=100%</w:t>
            </w:r>
          </w:p>
        </w:tc>
        <w:tc>
          <w:tcPr>
            <w:tcW w:w="84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49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421"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10"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pPr>
              <w:widowControl/>
              <w:jc w:val="left"/>
              <w:rPr>
                <w:rFonts w:ascii="宋体" w:hAnsi="宋体" w:cs="宋体"/>
                <w:color w:val="000000"/>
                <w:kern w:val="0"/>
                <w:sz w:val="20"/>
                <w:szCs w:val="20"/>
              </w:rPr>
            </w:pPr>
          </w:p>
        </w:tc>
        <w:tc>
          <w:tcPr>
            <w:tcW w:w="244" w:type="pct"/>
            <w:vMerge w:val="continue"/>
            <w:vAlign w:val="center"/>
          </w:tcPr>
          <w:p>
            <w:pPr>
              <w:widowControl/>
              <w:jc w:val="left"/>
              <w:rPr>
                <w:rFonts w:ascii="宋体" w:hAnsi="宋体" w:cs="宋体"/>
                <w:color w:val="000000"/>
                <w:kern w:val="0"/>
                <w:sz w:val="20"/>
                <w:szCs w:val="20"/>
              </w:rPr>
            </w:pPr>
          </w:p>
        </w:tc>
        <w:tc>
          <w:tcPr>
            <w:tcW w:w="573"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社会成本指标</w:t>
            </w:r>
          </w:p>
        </w:tc>
        <w:tc>
          <w:tcPr>
            <w:tcW w:w="1033" w:type="pct"/>
            <w:gridSpan w:val="2"/>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监控系统被破坏事件</w:t>
            </w:r>
          </w:p>
        </w:tc>
        <w:tc>
          <w:tcPr>
            <w:tcW w:w="539"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=0起</w:t>
            </w:r>
          </w:p>
        </w:tc>
        <w:tc>
          <w:tcPr>
            <w:tcW w:w="84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=0起</w:t>
            </w:r>
          </w:p>
        </w:tc>
        <w:tc>
          <w:tcPr>
            <w:tcW w:w="49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421"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10"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pPr>
              <w:widowControl/>
              <w:jc w:val="left"/>
              <w:rPr>
                <w:rFonts w:ascii="宋体" w:hAnsi="宋体" w:cs="宋体"/>
                <w:color w:val="000000"/>
                <w:kern w:val="0"/>
                <w:sz w:val="20"/>
                <w:szCs w:val="20"/>
              </w:rPr>
            </w:pPr>
          </w:p>
        </w:tc>
        <w:tc>
          <w:tcPr>
            <w:tcW w:w="244" w:type="pct"/>
            <w:vMerge w:val="continue"/>
            <w:vAlign w:val="center"/>
          </w:tcPr>
          <w:p>
            <w:pPr>
              <w:widowControl/>
              <w:jc w:val="left"/>
              <w:rPr>
                <w:rFonts w:ascii="宋体" w:hAnsi="宋体" w:cs="宋体"/>
                <w:color w:val="000000"/>
                <w:kern w:val="0"/>
                <w:sz w:val="20"/>
                <w:szCs w:val="20"/>
              </w:rPr>
            </w:pPr>
          </w:p>
        </w:tc>
        <w:tc>
          <w:tcPr>
            <w:tcW w:w="573"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33" w:type="pct"/>
            <w:gridSpan w:val="2"/>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39"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4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9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21"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0"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pPr>
              <w:widowControl/>
              <w:jc w:val="left"/>
              <w:rPr>
                <w:rFonts w:ascii="宋体" w:hAnsi="宋体" w:cs="宋体"/>
                <w:color w:val="000000"/>
                <w:kern w:val="0"/>
                <w:sz w:val="20"/>
                <w:szCs w:val="20"/>
              </w:rPr>
            </w:pPr>
          </w:p>
        </w:tc>
        <w:tc>
          <w:tcPr>
            <w:tcW w:w="244" w:type="pct"/>
            <w:vMerge w:val="restar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573"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033" w:type="pct"/>
            <w:gridSpan w:val="2"/>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39"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4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9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21"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0"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pPr>
              <w:widowControl/>
              <w:jc w:val="left"/>
              <w:rPr>
                <w:rFonts w:ascii="宋体" w:hAnsi="宋体" w:cs="宋体"/>
                <w:color w:val="000000"/>
                <w:kern w:val="0"/>
                <w:sz w:val="20"/>
                <w:szCs w:val="20"/>
              </w:rPr>
            </w:pPr>
          </w:p>
        </w:tc>
        <w:tc>
          <w:tcPr>
            <w:tcW w:w="244" w:type="pct"/>
            <w:vMerge w:val="continue"/>
            <w:vAlign w:val="center"/>
          </w:tcPr>
          <w:p>
            <w:pPr>
              <w:widowControl/>
              <w:jc w:val="left"/>
              <w:rPr>
                <w:rFonts w:ascii="宋体" w:hAnsi="宋体" w:cs="宋体"/>
                <w:color w:val="000000"/>
                <w:kern w:val="0"/>
                <w:sz w:val="20"/>
                <w:szCs w:val="20"/>
              </w:rPr>
            </w:pPr>
          </w:p>
        </w:tc>
        <w:tc>
          <w:tcPr>
            <w:tcW w:w="573"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033" w:type="pct"/>
            <w:gridSpan w:val="2"/>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系统正常运行率</w:t>
            </w:r>
          </w:p>
        </w:tc>
        <w:tc>
          <w:tcPr>
            <w:tcW w:w="539"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4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49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421"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610"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pPr>
              <w:widowControl/>
              <w:jc w:val="left"/>
              <w:rPr>
                <w:rFonts w:ascii="宋体" w:hAnsi="宋体" w:cs="宋体"/>
                <w:color w:val="000000"/>
                <w:kern w:val="0"/>
                <w:sz w:val="20"/>
                <w:szCs w:val="20"/>
              </w:rPr>
            </w:pPr>
          </w:p>
        </w:tc>
        <w:tc>
          <w:tcPr>
            <w:tcW w:w="244" w:type="pct"/>
            <w:vMerge w:val="continue"/>
            <w:vAlign w:val="center"/>
          </w:tcPr>
          <w:p>
            <w:pPr>
              <w:widowControl/>
              <w:jc w:val="left"/>
              <w:rPr>
                <w:rFonts w:ascii="宋体" w:hAnsi="宋体" w:cs="宋体"/>
                <w:color w:val="000000"/>
                <w:kern w:val="0"/>
                <w:sz w:val="20"/>
                <w:szCs w:val="20"/>
              </w:rPr>
            </w:pPr>
          </w:p>
        </w:tc>
        <w:tc>
          <w:tcPr>
            <w:tcW w:w="573"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1033" w:type="pct"/>
            <w:gridSpan w:val="2"/>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39"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4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9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21"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0"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pPr>
              <w:widowControl/>
              <w:jc w:val="left"/>
              <w:rPr>
                <w:rFonts w:ascii="宋体" w:hAnsi="宋体" w:cs="宋体"/>
                <w:color w:val="000000"/>
                <w:kern w:val="0"/>
                <w:sz w:val="20"/>
                <w:szCs w:val="20"/>
              </w:rPr>
            </w:pPr>
          </w:p>
        </w:tc>
        <w:tc>
          <w:tcPr>
            <w:tcW w:w="244"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573"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033" w:type="pct"/>
            <w:gridSpan w:val="2"/>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群众满意度</w:t>
            </w:r>
          </w:p>
        </w:tc>
        <w:tc>
          <w:tcPr>
            <w:tcW w:w="539"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84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49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421"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10"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477" w:type="pct"/>
            <w:gridSpan w:val="7"/>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491" w:type="pct"/>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88.80分</w:t>
            </w:r>
          </w:p>
        </w:tc>
        <w:tc>
          <w:tcPr>
            <w:tcW w:w="610" w:type="pct"/>
            <w:gridSpan w:val="2"/>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ascii="仿宋_GB2312" w:hAnsi="仿宋_GB2312" w:eastAsia="仿宋_GB2312" w:cs="仿宋_GB2312"/>
          <w:kern w:val="0"/>
          <w:sz w:val="32"/>
          <w:szCs w:val="32"/>
          <w:lang w:eastAsia="zh-Hans"/>
        </w:rPr>
      </w:pP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825A58"/>
    <w:rsid w:val="001710C7"/>
    <w:rsid w:val="00213C59"/>
    <w:rsid w:val="002C3A3C"/>
    <w:rsid w:val="003210CE"/>
    <w:rsid w:val="00701981"/>
    <w:rsid w:val="00796FAA"/>
    <w:rsid w:val="00825A58"/>
    <w:rsid w:val="00A52074"/>
    <w:rsid w:val="00B12BDB"/>
    <w:rsid w:val="00B70D59"/>
    <w:rsid w:val="00BA68E7"/>
    <w:rsid w:val="00F52A8D"/>
    <w:rsid w:val="00F86D18"/>
    <w:rsid w:val="019404F8"/>
    <w:rsid w:val="02BD3108"/>
    <w:rsid w:val="02F73D26"/>
    <w:rsid w:val="034D4FEF"/>
    <w:rsid w:val="035D1785"/>
    <w:rsid w:val="039F47CE"/>
    <w:rsid w:val="03E05CE8"/>
    <w:rsid w:val="03F973EE"/>
    <w:rsid w:val="043E5B56"/>
    <w:rsid w:val="04C04386"/>
    <w:rsid w:val="04D96608"/>
    <w:rsid w:val="04FA68C4"/>
    <w:rsid w:val="05324BCA"/>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7981</Words>
  <Characters>9170</Characters>
  <Lines>75</Lines>
  <Paragraphs>21</Paragraphs>
  <TotalTime>42</TotalTime>
  <ScaleCrop>false</ScaleCrop>
  <LinksUpToDate>false</LinksUpToDate>
  <CharactersWithSpaces>9223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2024-09-03T02:57:49Z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